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64B84" w14:textId="77777777" w:rsidR="00A17820" w:rsidRPr="00EF5C9C" w:rsidRDefault="00A17820" w:rsidP="00A17820">
      <w:pPr>
        <w:rPr>
          <w:rFonts w:ascii="Arial" w:hAnsi="Arial" w:cs="Arial"/>
          <w:sz w:val="24"/>
          <w:szCs w:val="24"/>
        </w:rPr>
      </w:pPr>
    </w:p>
    <w:p w14:paraId="11533E20" w14:textId="77777777" w:rsidR="00A17820" w:rsidRPr="00EF5C9C" w:rsidRDefault="00A17820" w:rsidP="00A17820">
      <w:pPr>
        <w:spacing w:after="0" w:line="240" w:lineRule="auto"/>
        <w:jc w:val="right"/>
        <w:rPr>
          <w:rFonts w:ascii="Arial" w:hAnsi="Arial" w:cs="Arial"/>
          <w:b/>
          <w:sz w:val="24"/>
          <w:szCs w:val="24"/>
        </w:rPr>
      </w:pPr>
    </w:p>
    <w:p w14:paraId="6F5C4EBE" w14:textId="1FA37177" w:rsidR="00E503A9" w:rsidRPr="00EF5C9C" w:rsidRDefault="00E503A9" w:rsidP="00EF5C9C">
      <w:pPr>
        <w:widowControl w:val="0"/>
        <w:autoSpaceDE w:val="0"/>
        <w:autoSpaceDN w:val="0"/>
        <w:adjustRightInd w:val="0"/>
        <w:spacing w:after="240" w:line="460" w:lineRule="atLeast"/>
        <w:jc w:val="center"/>
        <w:rPr>
          <w:rFonts w:ascii="Arial" w:hAnsi="Arial" w:cs="Arial"/>
          <w:color w:val="000000"/>
          <w:sz w:val="24"/>
          <w:szCs w:val="24"/>
        </w:rPr>
      </w:pPr>
      <w:r w:rsidRPr="00EF5C9C">
        <w:rPr>
          <w:rFonts w:ascii="Arial" w:hAnsi="Arial" w:cs="Arial"/>
          <w:b/>
          <w:bCs/>
          <w:color w:val="000000"/>
          <w:sz w:val="24"/>
          <w:szCs w:val="24"/>
        </w:rPr>
        <w:t xml:space="preserve">AVISO DE PRIVACIDAD INTEGRAL </w:t>
      </w:r>
      <w:r w:rsidR="00D36B5A">
        <w:rPr>
          <w:rFonts w:ascii="Arial" w:hAnsi="Arial" w:cs="Arial"/>
          <w:b/>
          <w:bCs/>
          <w:color w:val="000000"/>
          <w:sz w:val="24"/>
          <w:szCs w:val="24"/>
        </w:rPr>
        <w:t xml:space="preserve">DEL RELOJ CHECADOR </w:t>
      </w:r>
      <w:r w:rsidRPr="00EF5C9C">
        <w:rPr>
          <w:rFonts w:ascii="Arial" w:hAnsi="Arial" w:cs="Arial"/>
          <w:b/>
          <w:bCs/>
          <w:color w:val="000000"/>
          <w:sz w:val="24"/>
          <w:szCs w:val="24"/>
        </w:rPr>
        <w:t>DE LOS SERVICIOS EDUCATIVOS DE QUINTANA ROO</w:t>
      </w:r>
    </w:p>
    <w:p w14:paraId="4345B680"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 xml:space="preserve">En cumplimiento a Ley General de Protección de Datos Personales en Posesión de los Sujetos Obligados y la Ley de Protección de Datos Personales Posesión de Sujetos Obligados para el Estado de Quintana Roo, los Servicios Educativos de Quintana Roo, en lo subsiguiente los SEQ, en su calidad de Sujeto Obligado que recaba y ejerce tratamiento sobre datos personales, emite el siguiente: </w:t>
      </w:r>
    </w:p>
    <w:p w14:paraId="6477207E"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b/>
          <w:bCs/>
          <w:color w:val="000000"/>
          <w:sz w:val="24"/>
          <w:szCs w:val="24"/>
        </w:rPr>
        <w:t xml:space="preserve">AVISO DE PRIVACIDAD </w:t>
      </w:r>
    </w:p>
    <w:p w14:paraId="4926735D" w14:textId="0EC97EBD"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Los SEQ, con domicilio en la avenida Insurgentes, número 600, colonia Gonzalo Guerrero, código postal 77020, de la Ciudad de Chetumal,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w:t>
      </w:r>
      <w:r w:rsidR="003C558E">
        <w:rPr>
          <w:rFonts w:ascii="Arial" w:hAnsi="Arial" w:cs="Arial"/>
          <w:color w:val="000000"/>
          <w:sz w:val="24"/>
          <w:szCs w:val="24"/>
        </w:rPr>
        <w:t>, la Ley de Transparencia y Acceso a la Información Pública para el Estado de Quintana Roo</w:t>
      </w:r>
      <w:r w:rsidRPr="00EF5C9C">
        <w:rPr>
          <w:rFonts w:ascii="Arial" w:hAnsi="Arial" w:cs="Arial"/>
          <w:color w:val="000000"/>
          <w:sz w:val="24"/>
          <w:szCs w:val="24"/>
        </w:rPr>
        <w:t xml:space="preserve"> y</w:t>
      </w:r>
      <w:r w:rsidR="003C558E">
        <w:rPr>
          <w:rFonts w:ascii="Arial" w:hAnsi="Arial" w:cs="Arial"/>
          <w:color w:val="000000"/>
          <w:sz w:val="24"/>
          <w:szCs w:val="24"/>
        </w:rPr>
        <w:t xml:space="preserve"> </w:t>
      </w:r>
      <w:r w:rsidRPr="00EF5C9C">
        <w:rPr>
          <w:rFonts w:ascii="Arial" w:hAnsi="Arial" w:cs="Arial"/>
          <w:color w:val="000000"/>
          <w:sz w:val="24"/>
          <w:szCs w:val="24"/>
        </w:rPr>
        <w:t xml:space="preserve"> demás normatividad que resulte aplicable. </w:t>
      </w:r>
    </w:p>
    <w:p w14:paraId="63249EB5" w14:textId="77777777" w:rsidR="00E503A9" w:rsidRPr="00D03F2F"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D03F2F">
        <w:rPr>
          <w:rFonts w:ascii="Arial" w:hAnsi="Arial" w:cs="Arial"/>
          <w:b/>
          <w:bCs/>
          <w:color w:val="000000"/>
          <w:sz w:val="24"/>
          <w:szCs w:val="24"/>
        </w:rPr>
        <w:t xml:space="preserve">¿Qué datos personales se recaban y para qué finalidad? </w:t>
      </w:r>
    </w:p>
    <w:p w14:paraId="425AD1F7" w14:textId="54A92483" w:rsidR="00E503A9" w:rsidRDefault="00E503A9" w:rsidP="00D03F2F">
      <w:pPr>
        <w:widowControl w:val="0"/>
        <w:autoSpaceDE w:val="0"/>
        <w:autoSpaceDN w:val="0"/>
        <w:adjustRightInd w:val="0"/>
        <w:spacing w:after="240" w:line="400" w:lineRule="atLeast"/>
        <w:jc w:val="both"/>
        <w:rPr>
          <w:rFonts w:ascii="Arial" w:hAnsi="Arial" w:cs="Arial"/>
          <w:color w:val="000000"/>
          <w:sz w:val="24"/>
          <w:szCs w:val="24"/>
        </w:rPr>
      </w:pPr>
      <w:r w:rsidRPr="00D03F2F">
        <w:rPr>
          <w:rFonts w:ascii="Arial" w:hAnsi="Arial" w:cs="Arial"/>
          <w:color w:val="000000"/>
          <w:sz w:val="24"/>
          <w:szCs w:val="24"/>
        </w:rPr>
        <w:t xml:space="preserve">Sus datos personales serán utilizados con la finalidad </w:t>
      </w:r>
      <w:r w:rsidR="00D03F2F" w:rsidRPr="00D03F2F">
        <w:rPr>
          <w:rFonts w:ascii="Arial" w:hAnsi="Arial" w:cs="Arial"/>
          <w:color w:val="000000"/>
          <w:sz w:val="24"/>
          <w:szCs w:val="24"/>
        </w:rPr>
        <w:t>llevar a cabo</w:t>
      </w:r>
      <w:r w:rsidRPr="00D03F2F">
        <w:rPr>
          <w:rFonts w:ascii="Arial" w:hAnsi="Arial" w:cs="Arial"/>
          <w:color w:val="000000"/>
          <w:sz w:val="24"/>
          <w:szCs w:val="24"/>
        </w:rPr>
        <w:t xml:space="preserve"> el registro</w:t>
      </w:r>
      <w:r w:rsidR="009A4325">
        <w:rPr>
          <w:rFonts w:ascii="Arial" w:hAnsi="Arial" w:cs="Arial"/>
          <w:color w:val="000000"/>
          <w:sz w:val="24"/>
          <w:szCs w:val="24"/>
        </w:rPr>
        <w:t xml:space="preserve"> de huella digital</w:t>
      </w:r>
      <w:r w:rsidRPr="00D03F2F">
        <w:rPr>
          <w:rFonts w:ascii="Arial" w:hAnsi="Arial" w:cs="Arial"/>
          <w:color w:val="000000"/>
          <w:sz w:val="24"/>
          <w:szCs w:val="24"/>
        </w:rPr>
        <w:t xml:space="preserve"> </w:t>
      </w:r>
      <w:r w:rsidR="00D03F2F" w:rsidRPr="00D03F2F">
        <w:rPr>
          <w:rFonts w:ascii="Arial" w:hAnsi="Arial" w:cs="Arial"/>
          <w:color w:val="000000"/>
          <w:sz w:val="24"/>
          <w:szCs w:val="24"/>
        </w:rPr>
        <w:t>y control de asistencia de las y los trabajadores de los Servicios Educativos de Quntana Roo</w:t>
      </w:r>
      <w:r w:rsidR="00EB57EB">
        <w:rPr>
          <w:rFonts w:ascii="Arial" w:hAnsi="Arial" w:cs="Arial"/>
          <w:color w:val="000000"/>
          <w:sz w:val="24"/>
          <w:szCs w:val="24"/>
        </w:rPr>
        <w:t>.</w:t>
      </w:r>
    </w:p>
    <w:p w14:paraId="3135CB3F"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b/>
          <w:bCs/>
          <w:color w:val="000000"/>
          <w:sz w:val="24"/>
          <w:szCs w:val="24"/>
        </w:rPr>
        <w:t xml:space="preserve">Fundamento para el tratamiento de datos personales </w:t>
      </w:r>
    </w:p>
    <w:p w14:paraId="0377D9D6" w14:textId="27ECA2D6" w:rsidR="002C24E2"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Los SEQ tratan los datos personales antes señalados c</w:t>
      </w:r>
      <w:r w:rsidR="0083157B">
        <w:rPr>
          <w:rFonts w:ascii="Arial" w:hAnsi="Arial" w:cs="Arial"/>
          <w:color w:val="000000"/>
          <w:sz w:val="24"/>
          <w:szCs w:val="24"/>
        </w:rPr>
        <w:t xml:space="preserve">on fundamento en el artículo </w:t>
      </w:r>
      <w:r w:rsidR="00D326AB">
        <w:rPr>
          <w:rFonts w:ascii="Arial" w:hAnsi="Arial" w:cs="Arial"/>
          <w:color w:val="000000"/>
          <w:sz w:val="24"/>
          <w:szCs w:val="24"/>
        </w:rPr>
        <w:t xml:space="preserve">137 </w:t>
      </w:r>
      <w:r w:rsidRPr="00EF5C9C">
        <w:rPr>
          <w:rFonts w:ascii="Arial" w:hAnsi="Arial" w:cs="Arial"/>
          <w:color w:val="000000"/>
          <w:sz w:val="24"/>
          <w:szCs w:val="24"/>
        </w:rPr>
        <w:t xml:space="preserve">de la Ley de Transparencia y Acceso Información Pública para el Estado de Quintana Roo </w:t>
      </w:r>
      <w:r w:rsidRPr="009F380D">
        <w:rPr>
          <w:rFonts w:ascii="Arial" w:hAnsi="Arial" w:cs="Arial"/>
          <w:color w:val="000000"/>
          <w:sz w:val="24"/>
          <w:szCs w:val="24"/>
        </w:rPr>
        <w:t xml:space="preserve">y del Reglamento Interior y Condiciones Generales de Trabajo de los Servicios Educativos de Quintana Roo, en su Capítulo XVII de las </w:t>
      </w:r>
      <w:r w:rsidRPr="009F380D">
        <w:rPr>
          <w:rFonts w:ascii="Arial" w:hAnsi="Arial" w:cs="Arial"/>
          <w:color w:val="000000"/>
          <w:sz w:val="24"/>
          <w:szCs w:val="24"/>
        </w:rPr>
        <w:lastRenderedPageBreak/>
        <w:t>Unidades Administrativas Adscritas a la Dirección General,</w:t>
      </w:r>
      <w:r w:rsidR="009F380D" w:rsidRPr="009F380D">
        <w:rPr>
          <w:rFonts w:ascii="Arial" w:hAnsi="Arial" w:cs="Arial"/>
          <w:color w:val="000000"/>
          <w:sz w:val="24"/>
          <w:szCs w:val="24"/>
        </w:rPr>
        <w:t xml:space="preserve"> artículo 37, Fracción IX.</w:t>
      </w:r>
    </w:p>
    <w:p w14:paraId="79DFABDD" w14:textId="77777777" w:rsidR="0029634A" w:rsidRDefault="0029634A" w:rsidP="00E503A9">
      <w:pPr>
        <w:widowControl w:val="0"/>
        <w:autoSpaceDE w:val="0"/>
        <w:autoSpaceDN w:val="0"/>
        <w:adjustRightInd w:val="0"/>
        <w:spacing w:after="240" w:line="400" w:lineRule="atLeast"/>
        <w:jc w:val="both"/>
        <w:rPr>
          <w:rFonts w:ascii="Arial" w:hAnsi="Arial" w:cs="Arial"/>
          <w:b/>
          <w:bCs/>
          <w:color w:val="000000"/>
          <w:sz w:val="24"/>
          <w:szCs w:val="24"/>
        </w:rPr>
      </w:pPr>
    </w:p>
    <w:p w14:paraId="0D061C87" w14:textId="6A561531"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b/>
          <w:bCs/>
          <w:color w:val="000000"/>
          <w:sz w:val="24"/>
          <w:szCs w:val="24"/>
        </w:rPr>
        <w:t xml:space="preserve">Transferencia de Datos </w:t>
      </w:r>
    </w:p>
    <w:p w14:paraId="3E81126D"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B57EB">
        <w:rPr>
          <w:rFonts w:ascii="Arial" w:hAnsi="Arial" w:cs="Arial"/>
          <w:color w:val="000000"/>
          <w:sz w:val="24"/>
          <w:szCs w:val="24"/>
        </w:rPr>
        <w:t>Se informa que no se realizarán transferencias de datos personales, salvo aquéllas que sean necesarias para atender requerimientos de información de una autoridad competente, que estén debidamente fundados y motivados.</w:t>
      </w:r>
      <w:r w:rsidRPr="00EF5C9C">
        <w:rPr>
          <w:rFonts w:ascii="Arial" w:hAnsi="Arial" w:cs="Arial"/>
          <w:color w:val="000000"/>
          <w:sz w:val="24"/>
          <w:szCs w:val="24"/>
        </w:rPr>
        <w:t xml:space="preserve"> </w:t>
      </w:r>
    </w:p>
    <w:p w14:paraId="164CE41C" w14:textId="59FA305A" w:rsidR="00E503A9" w:rsidRPr="00EF5C9C" w:rsidRDefault="00E503A9" w:rsidP="00E16913">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b/>
          <w:bCs/>
          <w:color w:val="000000"/>
          <w:sz w:val="24"/>
          <w:szCs w:val="24"/>
        </w:rPr>
        <w:t>¿Dónde se pueden ejercer los derechos de acceso, rectificación corrección y oposición de datos personales?</w:t>
      </w:r>
      <w:r w:rsidRPr="00EF5C9C">
        <w:rPr>
          <w:rFonts w:ascii="MS Mincho" w:eastAsia="MS Mincho" w:hAnsi="MS Mincho" w:cs="MS Mincho"/>
          <w:b/>
          <w:bCs/>
          <w:color w:val="000000"/>
          <w:sz w:val="24"/>
          <w:szCs w:val="24"/>
        </w:rPr>
        <w:t> </w:t>
      </w:r>
      <w:r w:rsidRPr="00EF5C9C">
        <w:rPr>
          <w:rFonts w:ascii="Arial" w:hAnsi="Arial" w:cs="Arial"/>
          <w:color w:val="000000"/>
          <w:sz w:val="24"/>
          <w:szCs w:val="24"/>
        </w:rPr>
        <w:t xml:space="preserve">El Titular de los Datos Personales, podrá ejercer sus derechos de Acceso, Rectificación, Cancelación y Oposición (ARCO), solicitando lo conducente ante la </w:t>
      </w:r>
      <w:r w:rsidRPr="00EF5C9C">
        <w:rPr>
          <w:rFonts w:ascii="Arial" w:hAnsi="Arial" w:cs="Arial"/>
          <w:b/>
          <w:bCs/>
          <w:color w:val="000000"/>
          <w:sz w:val="24"/>
          <w:szCs w:val="24"/>
        </w:rPr>
        <w:t xml:space="preserve">Unidad de </w:t>
      </w:r>
      <w:r w:rsidR="00032A69">
        <w:rPr>
          <w:rFonts w:ascii="Arial" w:hAnsi="Arial" w:cs="Arial"/>
          <w:b/>
          <w:bCs/>
          <w:color w:val="000000"/>
          <w:sz w:val="24"/>
          <w:szCs w:val="24"/>
        </w:rPr>
        <w:t xml:space="preserve">Enlace para </w:t>
      </w:r>
      <w:r w:rsidR="00A91B78">
        <w:rPr>
          <w:rFonts w:ascii="Arial" w:hAnsi="Arial" w:cs="Arial"/>
          <w:b/>
          <w:bCs/>
          <w:color w:val="000000"/>
          <w:sz w:val="24"/>
          <w:szCs w:val="24"/>
        </w:rPr>
        <w:t xml:space="preserve">la </w:t>
      </w:r>
      <w:r w:rsidRPr="00EF5C9C">
        <w:rPr>
          <w:rFonts w:ascii="Arial" w:hAnsi="Arial" w:cs="Arial"/>
          <w:b/>
          <w:bCs/>
          <w:color w:val="000000"/>
          <w:sz w:val="24"/>
          <w:szCs w:val="24"/>
        </w:rPr>
        <w:t>Transparencia</w:t>
      </w:r>
      <w:r w:rsidR="00A91B78">
        <w:rPr>
          <w:rFonts w:ascii="Arial" w:hAnsi="Arial" w:cs="Arial"/>
          <w:b/>
          <w:bCs/>
          <w:color w:val="000000"/>
          <w:sz w:val="24"/>
          <w:szCs w:val="24"/>
        </w:rPr>
        <w:t xml:space="preserve"> y Acceso a la Información Pública</w:t>
      </w:r>
      <w:r w:rsidRPr="00EF5C9C">
        <w:rPr>
          <w:rFonts w:ascii="Arial" w:hAnsi="Arial" w:cs="Arial"/>
          <w:color w:val="000000"/>
          <w:sz w:val="24"/>
          <w:szCs w:val="24"/>
        </w:rPr>
        <w:t xml:space="preserve">, ubicada en avenida Insurgentes, Num. 600, colonia Gonzalo Guerrero, código postal 77020 en Chetumal, Quintana Roo. La solicitud de derechos ARCO, conforme a lo dispuesto en la Ley General de Protección de Datos Personales en Posesión de Sujetos Obligados y la Ley de Protección de Datos Personales en Posesión de Sujetos Obligados para el Estado de Quintana Roo, podrá realizarla de manera personal, mediante el formato de Solicitud de Derechos ARCO de los SEQ, mismo que podrá descargar en la presente liga: </w:t>
      </w:r>
      <w:hyperlink r:id="rId7" w:history="1">
        <w:r w:rsidR="00943C6E" w:rsidRPr="00AB532F">
          <w:rPr>
            <w:rStyle w:val="Hipervnculo"/>
            <w:rFonts w:ascii="Arial" w:hAnsi="Arial" w:cs="Arial"/>
            <w:sz w:val="24"/>
            <w:szCs w:val="24"/>
          </w:rPr>
          <w:t>http://qroo.gob.mx/seq/datos-personales</w:t>
        </w:r>
      </w:hyperlink>
      <w:r w:rsidR="00943C6E">
        <w:rPr>
          <w:rFonts w:ascii="Arial" w:hAnsi="Arial" w:cs="Arial"/>
          <w:color w:val="0B4CB4"/>
          <w:sz w:val="24"/>
          <w:szCs w:val="24"/>
        </w:rPr>
        <w:t xml:space="preserve">  </w:t>
      </w:r>
      <w:r w:rsidRPr="00EF5C9C">
        <w:rPr>
          <w:rFonts w:ascii="Arial" w:hAnsi="Arial" w:cs="Arial"/>
          <w:color w:val="000000"/>
          <w:sz w:val="24"/>
          <w:szCs w:val="24"/>
        </w:rPr>
        <w:t xml:space="preserve">o a través del Sistema INFOMEX Quintana Roo, mediante la liga: </w:t>
      </w:r>
      <w:r w:rsidRPr="00EF5C9C">
        <w:rPr>
          <w:rFonts w:ascii="Arial" w:hAnsi="Arial" w:cs="Arial"/>
          <w:color w:val="0B4CB4"/>
          <w:sz w:val="24"/>
          <w:szCs w:val="24"/>
        </w:rPr>
        <w:t xml:space="preserve">http://infomex.qroo.gob.mx </w:t>
      </w:r>
    </w:p>
    <w:p w14:paraId="1ED7D260" w14:textId="6456568E"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 xml:space="preserve">En el caso de requerir asesoría en el tema de Protección de Datos Personales, puede acudir ante los SEQ, con el Lic. Enrique Miguel Paniagua Lara, quien ocupa el cargo de Titular de la Unidad de Enlace para la Transparencia y Acceso a la Información Pública de los Servicios Educativos de Quintana Roo, en horario de atención de lunes a viernes de 09:00 a 16:00 horas. </w:t>
      </w:r>
    </w:p>
    <w:p w14:paraId="58AE7C4C" w14:textId="5F4366D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 xml:space="preserve">Cabe señalar que contra la negativa de dar trámite a toda solicitud para el ejercicio de los derechos ARCO o por falta de respuesta del Responsable, procederá la interposición de recurso de revisión a que se refiere el artículo 94 de la Ley </w:t>
      </w:r>
      <w:r w:rsidRPr="00EF5C9C">
        <w:rPr>
          <w:rFonts w:ascii="Arial" w:hAnsi="Arial" w:cs="Arial"/>
          <w:color w:val="000000"/>
          <w:sz w:val="24"/>
          <w:szCs w:val="24"/>
        </w:rPr>
        <w:lastRenderedPageBreak/>
        <w:t xml:space="preserve">General </w:t>
      </w:r>
      <w:r w:rsidR="009A4325">
        <w:rPr>
          <w:rFonts w:ascii="Arial" w:hAnsi="Arial" w:cs="Arial"/>
          <w:color w:val="000000"/>
          <w:sz w:val="24"/>
          <w:szCs w:val="24"/>
        </w:rPr>
        <w:t xml:space="preserve"> de protección de datos personales en posesión de sus obligados</w:t>
      </w:r>
      <w:r w:rsidR="002975A3">
        <w:rPr>
          <w:rFonts w:ascii="Arial" w:hAnsi="Arial" w:cs="Arial"/>
          <w:color w:val="000000"/>
          <w:sz w:val="24"/>
          <w:szCs w:val="24"/>
        </w:rPr>
        <w:t xml:space="preserve"> </w:t>
      </w:r>
      <w:r w:rsidRPr="00EF5C9C">
        <w:rPr>
          <w:rFonts w:ascii="Arial" w:hAnsi="Arial" w:cs="Arial"/>
          <w:color w:val="000000"/>
          <w:sz w:val="24"/>
          <w:szCs w:val="24"/>
        </w:rPr>
        <w:t xml:space="preserve">y los artículos 115 al 135 de la Ley Local en la materia. </w:t>
      </w:r>
    </w:p>
    <w:p w14:paraId="14D140F0" w14:textId="77777777" w:rsidR="0029634A" w:rsidRDefault="0029634A" w:rsidP="00E503A9">
      <w:pPr>
        <w:widowControl w:val="0"/>
        <w:autoSpaceDE w:val="0"/>
        <w:autoSpaceDN w:val="0"/>
        <w:adjustRightInd w:val="0"/>
        <w:spacing w:after="240" w:line="400" w:lineRule="atLeast"/>
        <w:jc w:val="both"/>
        <w:rPr>
          <w:rFonts w:ascii="Arial" w:hAnsi="Arial" w:cs="Arial"/>
          <w:color w:val="000000"/>
          <w:sz w:val="24"/>
          <w:szCs w:val="24"/>
        </w:rPr>
      </w:pPr>
    </w:p>
    <w:p w14:paraId="38E35E21" w14:textId="4F7C45EA" w:rsidR="00E503A9" w:rsidRPr="00D6786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D6786C">
        <w:rPr>
          <w:rFonts w:ascii="Arial" w:hAnsi="Arial" w:cs="Arial"/>
          <w:color w:val="000000"/>
          <w:sz w:val="24"/>
          <w:szCs w:val="24"/>
        </w:rPr>
        <w:t xml:space="preserve">En caso de que exista un cambio en este </w:t>
      </w:r>
      <w:r w:rsidRPr="00D6786C">
        <w:rPr>
          <w:rFonts w:ascii="Arial" w:hAnsi="Arial" w:cs="Arial"/>
          <w:b/>
          <w:bCs/>
          <w:color w:val="000000"/>
          <w:sz w:val="24"/>
          <w:szCs w:val="24"/>
        </w:rPr>
        <w:t>Aviso de Privacidad</w:t>
      </w:r>
      <w:r w:rsidRPr="00D6786C">
        <w:rPr>
          <w:rFonts w:ascii="Arial" w:hAnsi="Arial" w:cs="Arial"/>
          <w:color w:val="000000"/>
          <w:sz w:val="24"/>
          <w:szCs w:val="24"/>
        </w:rPr>
        <w:t xml:space="preserve">, lo haremos de su conocimiento en las oficinas de los SEQ y a través del sitio web del Organismo </w:t>
      </w:r>
      <w:hyperlink r:id="rId8" w:history="1">
        <w:r w:rsidR="00943C6E" w:rsidRPr="00D6786C">
          <w:rPr>
            <w:rStyle w:val="Hipervnculo"/>
            <w:rFonts w:ascii="Arial" w:hAnsi="Arial" w:cs="Arial"/>
            <w:sz w:val="24"/>
            <w:szCs w:val="24"/>
            <w:u w:val="none"/>
          </w:rPr>
          <w:t>http://qroo.gob.mx/seq</w:t>
        </w:r>
      </w:hyperlink>
      <w:r w:rsidR="00943C6E" w:rsidRPr="00D6786C">
        <w:rPr>
          <w:rFonts w:ascii="Arial" w:hAnsi="Arial" w:cs="Arial"/>
          <w:sz w:val="24"/>
          <w:szCs w:val="24"/>
        </w:rPr>
        <w:t xml:space="preserve">  </w:t>
      </w:r>
      <w:r w:rsidRPr="00D6786C">
        <w:rPr>
          <w:rFonts w:ascii="Arial" w:hAnsi="Arial" w:cs="Arial"/>
          <w:color w:val="0B4CB4"/>
          <w:sz w:val="24"/>
          <w:szCs w:val="24"/>
        </w:rPr>
        <w:t xml:space="preserve"> </w:t>
      </w:r>
      <w:r w:rsidRPr="00D6786C">
        <w:rPr>
          <w:rFonts w:ascii="Arial" w:hAnsi="Arial" w:cs="Arial"/>
          <w:color w:val="000000"/>
          <w:sz w:val="24"/>
          <w:szCs w:val="24"/>
        </w:rPr>
        <w:t xml:space="preserve">en la sección “Datos Personales”. </w:t>
      </w:r>
    </w:p>
    <w:p w14:paraId="059EEEC2" w14:textId="77777777" w:rsidR="00E503A9" w:rsidRPr="00EF5C9C" w:rsidRDefault="00E503A9" w:rsidP="00E503A9">
      <w:pPr>
        <w:jc w:val="both"/>
        <w:rPr>
          <w:rFonts w:ascii="Arial" w:hAnsi="Arial" w:cs="Arial"/>
          <w:sz w:val="24"/>
          <w:szCs w:val="24"/>
        </w:rPr>
      </w:pPr>
    </w:p>
    <w:p w14:paraId="0D65E5F0" w14:textId="77777777" w:rsidR="00A17820" w:rsidRPr="00EF5C9C" w:rsidRDefault="00A17820" w:rsidP="00BE6118">
      <w:pPr>
        <w:spacing w:after="0" w:line="240" w:lineRule="auto"/>
        <w:jc w:val="right"/>
        <w:rPr>
          <w:rFonts w:ascii="Arial" w:hAnsi="Arial" w:cs="Arial"/>
          <w:sz w:val="24"/>
          <w:szCs w:val="24"/>
        </w:rPr>
      </w:pPr>
      <w:bookmarkStart w:id="0" w:name="_GoBack"/>
      <w:bookmarkEnd w:id="0"/>
    </w:p>
    <w:sectPr w:rsidR="00A17820" w:rsidRPr="00EF5C9C" w:rsidSect="00A17820">
      <w:headerReference w:type="default" r:id="rId9"/>
      <w:pgSz w:w="12240" w:h="15840"/>
      <w:pgMar w:top="1417" w:right="1701" w:bottom="1417"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55A6D" w14:textId="77777777" w:rsidR="00713F96" w:rsidRDefault="00713F96">
      <w:pPr>
        <w:spacing w:after="0" w:line="240" w:lineRule="auto"/>
      </w:pPr>
      <w:r>
        <w:separator/>
      </w:r>
    </w:p>
  </w:endnote>
  <w:endnote w:type="continuationSeparator" w:id="0">
    <w:p w14:paraId="3D64AF4D" w14:textId="77777777" w:rsidR="00713F96" w:rsidRDefault="0071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C639B" w14:textId="77777777" w:rsidR="00713F96" w:rsidRDefault="00713F96">
      <w:pPr>
        <w:spacing w:after="0" w:line="240" w:lineRule="auto"/>
      </w:pPr>
      <w:r>
        <w:separator/>
      </w:r>
    </w:p>
  </w:footnote>
  <w:footnote w:type="continuationSeparator" w:id="0">
    <w:p w14:paraId="0468082C" w14:textId="77777777" w:rsidR="00713F96" w:rsidRDefault="00713F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5891E" w14:textId="7C23C0E1" w:rsidR="008E709F" w:rsidRDefault="008E709F">
    <w:pPr>
      <w:pStyle w:val="Encabezado"/>
    </w:pPr>
    <w:r w:rsidRPr="00BB5565">
      <w:rPr>
        <w:noProof/>
        <w:lang w:val="es-MX" w:eastAsia="es-MX"/>
      </w:rPr>
      <w:drawing>
        <wp:anchor distT="0" distB="0" distL="114300" distR="114300" simplePos="0" relativeHeight="251658240" behindDoc="1" locked="0" layoutInCell="1" allowOverlap="1" wp14:anchorId="30C542B3" wp14:editId="02AB7446">
          <wp:simplePos x="0" y="0"/>
          <wp:positionH relativeFrom="column">
            <wp:posOffset>-1145449</wp:posOffset>
          </wp:positionH>
          <wp:positionV relativeFrom="paragraph">
            <wp:posOffset>-464653</wp:posOffset>
          </wp:positionV>
          <wp:extent cx="7924661" cy="10202736"/>
          <wp:effectExtent l="0" t="0" r="0" b="0"/>
          <wp:wrapNone/>
          <wp:docPr id="4" name="Imagen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COLOR SEYC-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4661" cy="1020273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65"/>
    <w:rsid w:val="00030678"/>
    <w:rsid w:val="00032A69"/>
    <w:rsid w:val="0004330F"/>
    <w:rsid w:val="000663E2"/>
    <w:rsid w:val="001865DB"/>
    <w:rsid w:val="001B4FE6"/>
    <w:rsid w:val="001B5EAE"/>
    <w:rsid w:val="0021792D"/>
    <w:rsid w:val="002329B2"/>
    <w:rsid w:val="00264F3B"/>
    <w:rsid w:val="0029094B"/>
    <w:rsid w:val="0029634A"/>
    <w:rsid w:val="002975A3"/>
    <w:rsid w:val="002C24E2"/>
    <w:rsid w:val="002F2A49"/>
    <w:rsid w:val="0035704C"/>
    <w:rsid w:val="003656B7"/>
    <w:rsid w:val="003C558E"/>
    <w:rsid w:val="003D560F"/>
    <w:rsid w:val="003E4E67"/>
    <w:rsid w:val="00407070"/>
    <w:rsid w:val="0042470C"/>
    <w:rsid w:val="004537E0"/>
    <w:rsid w:val="004B6B97"/>
    <w:rsid w:val="00564EEB"/>
    <w:rsid w:val="005C3EED"/>
    <w:rsid w:val="005F4FBE"/>
    <w:rsid w:val="006255A1"/>
    <w:rsid w:val="006B7EE1"/>
    <w:rsid w:val="006E1635"/>
    <w:rsid w:val="00713F96"/>
    <w:rsid w:val="007233C2"/>
    <w:rsid w:val="00767427"/>
    <w:rsid w:val="00787C67"/>
    <w:rsid w:val="007D52BF"/>
    <w:rsid w:val="007F7479"/>
    <w:rsid w:val="0083157B"/>
    <w:rsid w:val="00852A5A"/>
    <w:rsid w:val="00897E67"/>
    <w:rsid w:val="008B206B"/>
    <w:rsid w:val="008C12F6"/>
    <w:rsid w:val="008E33E5"/>
    <w:rsid w:val="008E709F"/>
    <w:rsid w:val="009254C8"/>
    <w:rsid w:val="00943C57"/>
    <w:rsid w:val="00943C6E"/>
    <w:rsid w:val="00954869"/>
    <w:rsid w:val="00973508"/>
    <w:rsid w:val="009742F3"/>
    <w:rsid w:val="009A4325"/>
    <w:rsid w:val="009C33AE"/>
    <w:rsid w:val="009F380D"/>
    <w:rsid w:val="009F6297"/>
    <w:rsid w:val="00A17820"/>
    <w:rsid w:val="00A758A5"/>
    <w:rsid w:val="00A91B78"/>
    <w:rsid w:val="00AC6A49"/>
    <w:rsid w:val="00AE2C36"/>
    <w:rsid w:val="00B333C1"/>
    <w:rsid w:val="00B447A4"/>
    <w:rsid w:val="00B84577"/>
    <w:rsid w:val="00BB5565"/>
    <w:rsid w:val="00BC0D35"/>
    <w:rsid w:val="00BE6118"/>
    <w:rsid w:val="00C8677C"/>
    <w:rsid w:val="00CC7E1A"/>
    <w:rsid w:val="00CD5F43"/>
    <w:rsid w:val="00D03F2F"/>
    <w:rsid w:val="00D326AB"/>
    <w:rsid w:val="00D36B5A"/>
    <w:rsid w:val="00D47064"/>
    <w:rsid w:val="00D52A24"/>
    <w:rsid w:val="00D6786C"/>
    <w:rsid w:val="00D72190"/>
    <w:rsid w:val="00DA373D"/>
    <w:rsid w:val="00E16913"/>
    <w:rsid w:val="00E31D0F"/>
    <w:rsid w:val="00E3428E"/>
    <w:rsid w:val="00E503A9"/>
    <w:rsid w:val="00E70C35"/>
    <w:rsid w:val="00E831D6"/>
    <w:rsid w:val="00E972EC"/>
    <w:rsid w:val="00EB57EB"/>
    <w:rsid w:val="00EF5C9C"/>
    <w:rsid w:val="00FF0578"/>
  </w:rsids>
  <m:mathPr>
    <m:mathFont m:val="Cambria Math"/>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F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820"/>
    <w:pPr>
      <w:spacing w:after="160" w:line="259" w:lineRule="auto"/>
    </w:pPr>
    <w:rPr>
      <w:rFonts w:ascii="Calibri" w:eastAsia="Calibri" w:hAnsi="Calibri" w:cs="Times New Roman"/>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EncabezadoCar">
    <w:name w:val="Encabezado Car"/>
    <w:basedOn w:val="Fuentedeprrafopredeter"/>
    <w:link w:val="Encabezado"/>
    <w:uiPriority w:val="99"/>
    <w:rsid w:val="00BB5565"/>
  </w:style>
  <w:style w:type="paragraph" w:styleId="Piedepgina">
    <w:name w:val="footer"/>
    <w:basedOn w:val="Normal"/>
    <w:link w:val="Piedepgina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PiedepginaCar">
    <w:name w:val="Pie de página Car"/>
    <w:basedOn w:val="Fuentedeprrafopredeter"/>
    <w:link w:val="Piedepgina"/>
    <w:uiPriority w:val="99"/>
    <w:rsid w:val="00BB5565"/>
  </w:style>
  <w:style w:type="paragraph" w:styleId="Sinespaciado">
    <w:name w:val="No Spacing"/>
    <w:uiPriority w:val="1"/>
    <w:qFormat/>
    <w:rsid w:val="00A17820"/>
    <w:pPr>
      <w:spacing w:after="0"/>
    </w:pPr>
    <w:rPr>
      <w:rFonts w:ascii="Calibri" w:eastAsia="Calibri" w:hAnsi="Calibri" w:cs="Times New Roman"/>
      <w:sz w:val="22"/>
      <w:szCs w:val="22"/>
      <w:lang w:val="es-MX"/>
    </w:rPr>
  </w:style>
  <w:style w:type="character" w:styleId="Hipervnculo">
    <w:name w:val="Hyperlink"/>
    <w:uiPriority w:val="99"/>
    <w:unhideWhenUsed/>
    <w:rsid w:val="00E503A9"/>
    <w:rPr>
      <w:color w:val="0563C1"/>
      <w:u w:val="single"/>
    </w:rPr>
  </w:style>
  <w:style w:type="paragraph" w:styleId="Textodeglobo">
    <w:name w:val="Balloon Text"/>
    <w:basedOn w:val="Normal"/>
    <w:link w:val="TextodegloboCar"/>
    <w:uiPriority w:val="99"/>
    <w:semiHidden/>
    <w:unhideWhenUsed/>
    <w:rsid w:val="002963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634A"/>
    <w:rPr>
      <w:rFonts w:ascii="Segoe UI" w:eastAsia="Calibri" w:hAnsi="Segoe UI" w:cs="Segoe UI"/>
      <w:sz w:val="18"/>
      <w:szCs w:val="18"/>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820"/>
    <w:pPr>
      <w:spacing w:after="160" w:line="259" w:lineRule="auto"/>
    </w:pPr>
    <w:rPr>
      <w:rFonts w:ascii="Calibri" w:eastAsia="Calibri" w:hAnsi="Calibri" w:cs="Times New Roman"/>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EncabezadoCar">
    <w:name w:val="Encabezado Car"/>
    <w:basedOn w:val="Fuentedeprrafopredeter"/>
    <w:link w:val="Encabezado"/>
    <w:uiPriority w:val="99"/>
    <w:rsid w:val="00BB5565"/>
  </w:style>
  <w:style w:type="paragraph" w:styleId="Piedepgina">
    <w:name w:val="footer"/>
    <w:basedOn w:val="Normal"/>
    <w:link w:val="Piedepgina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PiedepginaCar">
    <w:name w:val="Pie de página Car"/>
    <w:basedOn w:val="Fuentedeprrafopredeter"/>
    <w:link w:val="Piedepgina"/>
    <w:uiPriority w:val="99"/>
    <w:rsid w:val="00BB5565"/>
  </w:style>
  <w:style w:type="paragraph" w:styleId="Sinespaciado">
    <w:name w:val="No Spacing"/>
    <w:uiPriority w:val="1"/>
    <w:qFormat/>
    <w:rsid w:val="00A17820"/>
    <w:pPr>
      <w:spacing w:after="0"/>
    </w:pPr>
    <w:rPr>
      <w:rFonts w:ascii="Calibri" w:eastAsia="Calibri" w:hAnsi="Calibri" w:cs="Times New Roman"/>
      <w:sz w:val="22"/>
      <w:szCs w:val="22"/>
      <w:lang w:val="es-MX"/>
    </w:rPr>
  </w:style>
  <w:style w:type="character" w:styleId="Hipervnculo">
    <w:name w:val="Hyperlink"/>
    <w:uiPriority w:val="99"/>
    <w:unhideWhenUsed/>
    <w:rsid w:val="00E503A9"/>
    <w:rPr>
      <w:color w:val="0563C1"/>
      <w:u w:val="single"/>
    </w:rPr>
  </w:style>
  <w:style w:type="paragraph" w:styleId="Textodeglobo">
    <w:name w:val="Balloon Text"/>
    <w:basedOn w:val="Normal"/>
    <w:link w:val="TextodegloboCar"/>
    <w:uiPriority w:val="99"/>
    <w:semiHidden/>
    <w:unhideWhenUsed/>
    <w:rsid w:val="002963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634A"/>
    <w:rPr>
      <w:rFonts w:ascii="Segoe UI" w:eastAsia="Calibr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qroo.gob.mx/seq/datos-personales" TargetMode="External"/><Relationship Id="rId3" Type="http://schemas.openxmlformats.org/officeDocument/2006/relationships/settings" Target="settings.xml"/><Relationship Id="rId7" Type="http://schemas.openxmlformats.org/officeDocument/2006/relationships/hyperlink" Target="http://qroo.gob.mx/seq/datos-personal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3486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oem</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LaoG123</dc:creator>
  <cp:lastModifiedBy>Transparencia-SEQ</cp:lastModifiedBy>
  <cp:revision>2</cp:revision>
  <cp:lastPrinted>2017-10-04T17:21:00Z</cp:lastPrinted>
  <dcterms:created xsi:type="dcterms:W3CDTF">2017-10-04T17:55:00Z</dcterms:created>
  <dcterms:modified xsi:type="dcterms:W3CDTF">2017-10-04T17:55:00Z</dcterms:modified>
</cp:coreProperties>
</file>