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0" w:rsidRPr="00A17820" w:rsidRDefault="00A17820" w:rsidP="00A17820">
      <w:pPr>
        <w:rPr>
          <w:rFonts w:ascii="Myriad Pro" w:hAnsi="Myriad Pro"/>
        </w:rPr>
      </w:pPr>
      <w:bookmarkStart w:id="0" w:name="_GoBack"/>
      <w:bookmarkEnd w:id="0"/>
    </w:p>
    <w:p w:rsidR="00E831D6" w:rsidRDefault="00E831D6" w:rsidP="007D7AA1">
      <w:pPr>
        <w:spacing w:after="0" w:line="240" w:lineRule="auto"/>
        <w:rPr>
          <w:rFonts w:ascii="Myriad Pro" w:hAnsi="Myriad Pro" w:cs="Arial"/>
          <w:b/>
          <w:szCs w:val="18"/>
        </w:rPr>
      </w:pPr>
    </w:p>
    <w:p w:rsidR="005F4FBE" w:rsidRDefault="005F4FBE" w:rsidP="00A17820">
      <w:pPr>
        <w:spacing w:after="0" w:line="240" w:lineRule="auto"/>
        <w:jc w:val="right"/>
        <w:rPr>
          <w:rFonts w:ascii="Myriad Pro" w:hAnsi="Myriad Pro" w:cs="Arial"/>
          <w:b/>
          <w:szCs w:val="18"/>
        </w:rPr>
      </w:pPr>
    </w:p>
    <w:p w:rsidR="00D93C1C" w:rsidRPr="00D93C1C" w:rsidRDefault="00CE20FD" w:rsidP="00D93C1C">
      <w:pPr>
        <w:pStyle w:val="Default"/>
        <w:jc w:val="center"/>
        <w:rPr>
          <w:rFonts w:ascii="Myapro" w:hAnsi="Myapro"/>
          <w:b/>
          <w:bCs/>
          <w:sz w:val="28"/>
          <w:szCs w:val="28"/>
        </w:rPr>
      </w:pPr>
      <w:r>
        <w:rPr>
          <w:rFonts w:ascii="Myapro" w:hAnsi="Myapro"/>
          <w:b/>
          <w:bCs/>
          <w:sz w:val="28"/>
          <w:szCs w:val="28"/>
        </w:rPr>
        <w:t>AVISO DE PRIVACIDAD</w:t>
      </w:r>
      <w:r w:rsidR="007E4771">
        <w:rPr>
          <w:rFonts w:ascii="Myapro" w:hAnsi="Myapro"/>
          <w:b/>
          <w:bCs/>
          <w:sz w:val="28"/>
          <w:szCs w:val="28"/>
        </w:rPr>
        <w:t xml:space="preserve"> </w:t>
      </w:r>
      <w:r w:rsidR="00122DFA">
        <w:rPr>
          <w:rFonts w:ascii="Myapro" w:hAnsi="Myapro"/>
          <w:b/>
          <w:bCs/>
          <w:sz w:val="28"/>
          <w:szCs w:val="28"/>
        </w:rPr>
        <w:t xml:space="preserve">INTEGRAL </w:t>
      </w:r>
      <w:r w:rsidR="007E4771">
        <w:rPr>
          <w:rFonts w:ascii="Myapro" w:hAnsi="Myapro"/>
          <w:b/>
          <w:bCs/>
          <w:sz w:val="28"/>
          <w:szCs w:val="28"/>
        </w:rPr>
        <w:t>DEL TRÁMITE</w:t>
      </w:r>
      <w:r>
        <w:rPr>
          <w:rFonts w:ascii="Myapro" w:hAnsi="Myapro"/>
          <w:b/>
          <w:bCs/>
          <w:sz w:val="28"/>
          <w:szCs w:val="28"/>
        </w:rPr>
        <w:t xml:space="preserve"> </w:t>
      </w:r>
      <w:r w:rsidR="00320BE3">
        <w:rPr>
          <w:rFonts w:ascii="Myapro" w:hAnsi="Myapro"/>
          <w:b/>
          <w:bCs/>
          <w:sz w:val="28"/>
          <w:szCs w:val="28"/>
        </w:rPr>
        <w:t>DE RESOLUCIÓN DE EQUIVALE</w:t>
      </w:r>
      <w:r w:rsidR="00B90D5A">
        <w:rPr>
          <w:rFonts w:ascii="Myapro" w:hAnsi="Myapro"/>
          <w:b/>
          <w:bCs/>
          <w:sz w:val="28"/>
          <w:szCs w:val="28"/>
        </w:rPr>
        <w:t>NCIAS DE ESTUDIOS DE TIPO MEDIA</w:t>
      </w:r>
      <w:r w:rsidR="00320BE3">
        <w:rPr>
          <w:rFonts w:ascii="Myapro" w:hAnsi="Myapro"/>
          <w:b/>
          <w:bCs/>
          <w:sz w:val="28"/>
          <w:szCs w:val="28"/>
        </w:rPr>
        <w:t xml:space="preserve"> SUPERIOR Y SUPERIOR</w:t>
      </w:r>
    </w:p>
    <w:p w:rsidR="000A57DE" w:rsidRPr="000A57DE" w:rsidRDefault="000A57DE" w:rsidP="000A57DE">
      <w:pPr>
        <w:pStyle w:val="Default"/>
        <w:rPr>
          <w:rFonts w:ascii="Myapro" w:hAnsi="Myapro"/>
          <w:sz w:val="28"/>
          <w:szCs w:val="28"/>
        </w:rPr>
      </w:pPr>
      <w:r w:rsidRPr="000A57DE">
        <w:rPr>
          <w:rFonts w:ascii="Myapro" w:hAnsi="Myapro"/>
          <w:sz w:val="28"/>
          <w:szCs w:val="28"/>
        </w:rPr>
        <w:t xml:space="preserve"> </w:t>
      </w:r>
    </w:p>
    <w:p w:rsidR="000A57DE" w:rsidRPr="000A57DE" w:rsidRDefault="000A57DE" w:rsidP="000A57DE">
      <w:pPr>
        <w:pStyle w:val="Default"/>
        <w:jc w:val="both"/>
        <w:rPr>
          <w:rFonts w:ascii="Myapro" w:hAnsi="Myapro"/>
        </w:rPr>
      </w:pPr>
      <w:r w:rsidRPr="000A57DE">
        <w:rPr>
          <w:rFonts w:ascii="Myapro" w:hAnsi="Myapro"/>
        </w:rPr>
        <w:t xml:space="preserve">En cumplimiento a Ley General de Protección de Datos Personales en Posesión de los Sujetos Obligados y la Ley de Protección de Datos Personales Posesión de Sujetos Obligados </w:t>
      </w:r>
      <w:r w:rsidR="008D3203">
        <w:rPr>
          <w:rFonts w:ascii="Myapro" w:hAnsi="Myapro"/>
        </w:rPr>
        <w:t>para el Estado de Quintana Roo,</w:t>
      </w:r>
      <w:r w:rsidR="00E23442">
        <w:rPr>
          <w:rFonts w:ascii="Myapro" w:hAnsi="Myapro"/>
        </w:rPr>
        <w:t xml:space="preserve"> la Secretaría de Educación de Quintana Roo, en lo subsiguiente la SEQ</w:t>
      </w:r>
      <w:r w:rsidRPr="000A57DE">
        <w:rPr>
          <w:rFonts w:ascii="Myapro" w:hAnsi="Myapro"/>
        </w:rPr>
        <w:t xml:space="preserve">, en su calidad de Sujeto Obligado que recaba y ejerce tratamiento sobre datos personales, emite el siguiente: </w:t>
      </w:r>
    </w:p>
    <w:p w:rsidR="000A57DE" w:rsidRDefault="000A57DE" w:rsidP="000A57DE">
      <w:pPr>
        <w:pStyle w:val="Default"/>
        <w:jc w:val="center"/>
        <w:rPr>
          <w:rFonts w:ascii="Myapro" w:hAnsi="Myapro"/>
          <w:b/>
          <w:bCs/>
        </w:rPr>
      </w:pPr>
    </w:p>
    <w:p w:rsidR="00AC0DD1" w:rsidRDefault="000A57DE" w:rsidP="000A57DE">
      <w:pPr>
        <w:pStyle w:val="Default"/>
        <w:jc w:val="center"/>
        <w:rPr>
          <w:rFonts w:ascii="Myapro" w:hAnsi="Myapro"/>
          <w:b/>
          <w:bCs/>
        </w:rPr>
      </w:pPr>
      <w:r w:rsidRPr="000A57DE">
        <w:rPr>
          <w:rFonts w:ascii="Myapro" w:hAnsi="Myapro"/>
          <w:b/>
          <w:bCs/>
        </w:rPr>
        <w:t>AVISO DE PRIVACIDAD</w:t>
      </w:r>
    </w:p>
    <w:p w:rsidR="000A57DE" w:rsidRPr="000A57DE" w:rsidRDefault="000A57DE" w:rsidP="000A57DE">
      <w:pPr>
        <w:pStyle w:val="Default"/>
        <w:jc w:val="center"/>
        <w:rPr>
          <w:rFonts w:ascii="Myapro" w:hAnsi="Myapro"/>
        </w:rPr>
      </w:pPr>
      <w:r w:rsidRPr="000A57DE">
        <w:rPr>
          <w:rFonts w:ascii="Myapro" w:hAnsi="Myapro"/>
          <w:b/>
          <w:bCs/>
        </w:rPr>
        <w:t xml:space="preserve"> </w:t>
      </w:r>
    </w:p>
    <w:p w:rsidR="000A57DE" w:rsidRPr="000A57DE" w:rsidRDefault="00A34B13" w:rsidP="000A57DE">
      <w:pPr>
        <w:pStyle w:val="Default"/>
        <w:jc w:val="both"/>
        <w:rPr>
          <w:rFonts w:ascii="Myapro" w:hAnsi="Myapro"/>
        </w:rPr>
      </w:pPr>
      <w:r>
        <w:rPr>
          <w:rFonts w:ascii="Myapro" w:hAnsi="Myapro"/>
        </w:rPr>
        <w:t xml:space="preserve">La </w:t>
      </w:r>
      <w:r w:rsidRPr="001866F9">
        <w:rPr>
          <w:rFonts w:ascii="Myarpro" w:hAnsi="Myarpro"/>
        </w:rPr>
        <w:t>Secretaría de Educación de Quintana Roo</w:t>
      </w:r>
      <w:r>
        <w:rPr>
          <w:rFonts w:ascii="Myapro" w:hAnsi="Myapro"/>
        </w:rPr>
        <w:t xml:space="preserve"> (SEQ)</w:t>
      </w:r>
      <w:r w:rsidR="000A57DE" w:rsidRPr="000A57DE">
        <w:rPr>
          <w:rFonts w:ascii="Myapro" w:hAnsi="Myapro"/>
        </w:rPr>
        <w:t>, con domicil</w:t>
      </w:r>
      <w:r w:rsidR="0046369F">
        <w:rPr>
          <w:rFonts w:ascii="Myapro" w:hAnsi="Myapro"/>
        </w:rPr>
        <w:t>io en la avenida Insurgentes, número 600, colonia Gonzalo Guerrero</w:t>
      </w:r>
      <w:r w:rsidR="00D92C16">
        <w:rPr>
          <w:rFonts w:ascii="Myapro" w:hAnsi="Myapro"/>
        </w:rPr>
        <w:t>, código postal 77020</w:t>
      </w:r>
      <w:r w:rsidR="000A57DE" w:rsidRPr="000A57DE">
        <w:rPr>
          <w:rFonts w:ascii="Myapro" w:hAnsi="Myapro"/>
        </w:rPr>
        <w:t xml:space="preserve">,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rsidR="000A57DE" w:rsidRDefault="000A57DE" w:rsidP="000A57DE">
      <w:pPr>
        <w:pStyle w:val="Default"/>
        <w:jc w:val="both"/>
        <w:rPr>
          <w:rFonts w:ascii="Myapro" w:hAnsi="Myapro"/>
          <w:b/>
          <w:bCs/>
        </w:rPr>
      </w:pPr>
    </w:p>
    <w:p w:rsidR="000A57DE" w:rsidRPr="00AC0DD1" w:rsidRDefault="000A57DE" w:rsidP="000A57DE">
      <w:pPr>
        <w:pStyle w:val="Default"/>
        <w:jc w:val="both"/>
        <w:rPr>
          <w:rFonts w:ascii="Myapro" w:hAnsi="Myapro"/>
          <w:caps/>
        </w:rPr>
      </w:pPr>
      <w:r w:rsidRPr="00AC0DD1">
        <w:rPr>
          <w:rFonts w:ascii="Myapro" w:hAnsi="Myapro"/>
          <w:b/>
          <w:bCs/>
          <w:caps/>
        </w:rPr>
        <w:t xml:space="preserve">¿Qué datos personales se recaban y para qué finalidad? </w:t>
      </w:r>
    </w:p>
    <w:p w:rsidR="00D92C16" w:rsidRPr="00AC0DD1" w:rsidRDefault="00D92C16" w:rsidP="000A57DE">
      <w:pPr>
        <w:pStyle w:val="Default"/>
        <w:jc w:val="both"/>
        <w:rPr>
          <w:rFonts w:ascii="Myapro" w:hAnsi="Myapro"/>
          <w:caps/>
        </w:rPr>
      </w:pPr>
    </w:p>
    <w:p w:rsidR="009101C8" w:rsidRDefault="00D92C16" w:rsidP="00D92C16">
      <w:pPr>
        <w:jc w:val="both"/>
        <w:rPr>
          <w:rFonts w:ascii="Myapro" w:hAnsi="Myapro"/>
          <w:sz w:val="24"/>
        </w:rPr>
      </w:pPr>
      <w:r w:rsidRPr="00C3261A">
        <w:rPr>
          <w:rFonts w:ascii="Myapro" w:hAnsi="Myapro"/>
          <w:sz w:val="24"/>
          <w:szCs w:val="24"/>
        </w:rPr>
        <w:t xml:space="preserve">Sus datos personales </w:t>
      </w:r>
      <w:r w:rsidR="009E7368" w:rsidRPr="00C3261A">
        <w:rPr>
          <w:rFonts w:ascii="Myapro" w:hAnsi="Myapro"/>
          <w:sz w:val="24"/>
          <w:szCs w:val="24"/>
        </w:rPr>
        <w:t xml:space="preserve">que </w:t>
      </w:r>
      <w:r w:rsidRPr="00C3261A">
        <w:rPr>
          <w:rFonts w:ascii="Myapro" w:hAnsi="Myapro"/>
          <w:sz w:val="24"/>
          <w:szCs w:val="24"/>
        </w:rPr>
        <w:t xml:space="preserve">serán utilizados </w:t>
      </w:r>
      <w:r w:rsidR="00320BE3" w:rsidRPr="00C3261A">
        <w:rPr>
          <w:rFonts w:ascii="Myapro" w:hAnsi="Myapro"/>
          <w:sz w:val="24"/>
        </w:rPr>
        <w:t xml:space="preserve">para </w:t>
      </w:r>
      <w:r w:rsidR="00FC393B" w:rsidRPr="00C3261A">
        <w:rPr>
          <w:rFonts w:ascii="Myapro" w:hAnsi="Myapro"/>
          <w:sz w:val="24"/>
        </w:rPr>
        <w:t>el trámite de resolución de equivalencias de estudios realizados dentro del Sistema Educativo Nacional que sean equiparables entre sí</w:t>
      </w:r>
      <w:r w:rsidR="008D3203" w:rsidRPr="00C3261A">
        <w:rPr>
          <w:rFonts w:ascii="Myapro" w:hAnsi="Myapro"/>
          <w:sz w:val="24"/>
        </w:rPr>
        <w:t>, con fundamento en el a</w:t>
      </w:r>
      <w:r w:rsidR="00320BE3" w:rsidRPr="00C3261A">
        <w:rPr>
          <w:rFonts w:ascii="Myapro" w:hAnsi="Myapro"/>
          <w:sz w:val="24"/>
        </w:rPr>
        <w:t xml:space="preserve">rtículo </w:t>
      </w:r>
      <w:r w:rsidR="00AD34C8" w:rsidRPr="00C3261A">
        <w:rPr>
          <w:rFonts w:ascii="Myapro" w:hAnsi="Myapro"/>
          <w:sz w:val="24"/>
        </w:rPr>
        <w:t>14</w:t>
      </w:r>
      <w:r w:rsidR="00320BE3" w:rsidRPr="00C3261A">
        <w:rPr>
          <w:rFonts w:ascii="Myapro" w:hAnsi="Myapro"/>
          <w:sz w:val="24"/>
        </w:rPr>
        <w:t xml:space="preserve"> </w:t>
      </w:r>
      <w:r w:rsidR="00986394" w:rsidRPr="00C3261A">
        <w:rPr>
          <w:rFonts w:ascii="Myapro" w:hAnsi="Myapro"/>
          <w:sz w:val="24"/>
        </w:rPr>
        <w:t xml:space="preserve"> fracción </w:t>
      </w:r>
      <w:r w:rsidR="00AD34C8" w:rsidRPr="00C3261A">
        <w:rPr>
          <w:rFonts w:ascii="Myapro" w:hAnsi="Myapro"/>
          <w:sz w:val="24"/>
        </w:rPr>
        <w:t>III</w:t>
      </w:r>
      <w:r w:rsidR="00986394" w:rsidRPr="00C3261A">
        <w:rPr>
          <w:rFonts w:ascii="Myapro" w:hAnsi="Myapro"/>
          <w:sz w:val="24"/>
        </w:rPr>
        <w:t xml:space="preserve"> </w:t>
      </w:r>
      <w:r w:rsidR="00320BE3" w:rsidRPr="00C3261A">
        <w:rPr>
          <w:rFonts w:ascii="Myapro" w:hAnsi="Myapro"/>
          <w:sz w:val="24"/>
        </w:rPr>
        <w:t xml:space="preserve">de la </w:t>
      </w:r>
      <w:r w:rsidR="00986394" w:rsidRPr="00C3261A">
        <w:rPr>
          <w:rFonts w:ascii="Myapro" w:hAnsi="Myapro"/>
          <w:sz w:val="24"/>
        </w:rPr>
        <w:t>Ley General de Educación</w:t>
      </w:r>
      <w:r w:rsidR="00E23442" w:rsidRPr="00C3261A">
        <w:rPr>
          <w:rFonts w:ascii="Myapro" w:hAnsi="Myapro"/>
          <w:sz w:val="24"/>
        </w:rPr>
        <w:t xml:space="preserve">, </w:t>
      </w:r>
      <w:r w:rsidR="00986394" w:rsidRPr="00C3261A">
        <w:rPr>
          <w:rFonts w:ascii="Myapro" w:hAnsi="Myapro"/>
          <w:sz w:val="24"/>
        </w:rPr>
        <w:t>el Acuerdo 286</w:t>
      </w:r>
      <w:r w:rsidR="00CC2F97" w:rsidRPr="00C3261A">
        <w:rPr>
          <w:rFonts w:ascii="Myapro" w:hAnsi="Myapro"/>
          <w:sz w:val="24"/>
        </w:rPr>
        <w:t xml:space="preserve"> </w:t>
      </w:r>
      <w:r w:rsidR="00CC2F97" w:rsidRPr="00C3261A">
        <w:rPr>
          <w:rFonts w:ascii="Myapro" w:hAnsi="Myapro"/>
          <w:shd w:val="clear" w:color="auto" w:fill="FFFFFF"/>
        </w:rPr>
        <w:t>por el que se establecen los lineamientos que determinan las normas y criterios generales, a que se ajustarán la revalidación de estudios realizados en el extranjero y la equivalencia de estudios, así como los procedimientos por medio de los cuales se acreditarán conocimientos correspondientes a niveles educativos o grados escolares adquiridos en forma autodidacta, a través de la experiencia laboral o con base en el régimen de certificación referido a la formación para el trabajo</w:t>
      </w:r>
      <w:r w:rsidR="00C3261A">
        <w:rPr>
          <w:rFonts w:ascii="Myapro" w:hAnsi="Myapro"/>
          <w:shd w:val="clear" w:color="auto" w:fill="FFFFFF"/>
        </w:rPr>
        <w:t xml:space="preserve"> y</w:t>
      </w:r>
      <w:r w:rsidR="00170D67" w:rsidRPr="00C3261A">
        <w:rPr>
          <w:rFonts w:ascii="Myapro" w:hAnsi="Myapro"/>
          <w:shd w:val="clear" w:color="auto" w:fill="FFFFFF"/>
        </w:rPr>
        <w:t xml:space="preserve"> </w:t>
      </w:r>
      <w:r w:rsidR="00170D67" w:rsidRPr="00C3261A">
        <w:rPr>
          <w:rFonts w:ascii="Myapro" w:hAnsi="Myapro"/>
          <w:sz w:val="24"/>
        </w:rPr>
        <w:t>artículos 27 fracción V y 142 de la Ley de Educación del Estado de Quintana Roo</w:t>
      </w:r>
      <w:r w:rsidR="00C3261A">
        <w:rPr>
          <w:rFonts w:ascii="Myapro" w:hAnsi="Myapro"/>
          <w:sz w:val="24"/>
        </w:rPr>
        <w:t>.</w:t>
      </w:r>
    </w:p>
    <w:p w:rsidR="0019520A" w:rsidRPr="00D92C16" w:rsidRDefault="0019520A" w:rsidP="00D92C16">
      <w:pPr>
        <w:jc w:val="both"/>
        <w:rPr>
          <w:rFonts w:ascii="Myapro" w:hAnsi="Myapro"/>
          <w:sz w:val="24"/>
        </w:rPr>
      </w:pPr>
    </w:p>
    <w:p w:rsidR="00D92C16" w:rsidRPr="00D92C16" w:rsidRDefault="00D92C16" w:rsidP="000A57DE">
      <w:pPr>
        <w:pStyle w:val="Default"/>
        <w:jc w:val="both"/>
        <w:rPr>
          <w:rFonts w:ascii="Myapro" w:hAnsi="Myapro"/>
        </w:rPr>
      </w:pPr>
    </w:p>
    <w:p w:rsidR="00DB5348" w:rsidRDefault="00DB5348" w:rsidP="00DB5348">
      <w:pPr>
        <w:pStyle w:val="Default"/>
        <w:jc w:val="center"/>
        <w:rPr>
          <w:rFonts w:ascii="Myapro" w:hAnsi="Myapro"/>
          <w:b/>
          <w:bCs/>
          <w:sz w:val="28"/>
          <w:szCs w:val="28"/>
        </w:rPr>
      </w:pPr>
    </w:p>
    <w:p w:rsidR="00DB5348" w:rsidRDefault="00DB5348" w:rsidP="00DB5348">
      <w:pPr>
        <w:pStyle w:val="Default"/>
        <w:jc w:val="center"/>
        <w:rPr>
          <w:rFonts w:ascii="Myapro" w:hAnsi="Myapro"/>
          <w:b/>
          <w:bCs/>
          <w:sz w:val="28"/>
          <w:szCs w:val="28"/>
        </w:rPr>
      </w:pPr>
    </w:p>
    <w:p w:rsidR="00836F21" w:rsidRDefault="00836F21" w:rsidP="00DB5348">
      <w:pPr>
        <w:pStyle w:val="Default"/>
        <w:jc w:val="center"/>
        <w:rPr>
          <w:rFonts w:ascii="Myapro" w:hAnsi="Myapro"/>
          <w:b/>
          <w:bCs/>
          <w:sz w:val="28"/>
          <w:szCs w:val="28"/>
        </w:rPr>
      </w:pPr>
    </w:p>
    <w:p w:rsidR="00836F21" w:rsidRDefault="00836F21" w:rsidP="00DB5348">
      <w:pPr>
        <w:pStyle w:val="Default"/>
        <w:jc w:val="center"/>
        <w:rPr>
          <w:rFonts w:ascii="Myapro" w:hAnsi="Myapro"/>
          <w:b/>
          <w:bCs/>
          <w:sz w:val="28"/>
          <w:szCs w:val="28"/>
        </w:rPr>
      </w:pPr>
    </w:p>
    <w:p w:rsidR="00DB5348" w:rsidRDefault="00DB5348" w:rsidP="009101C8">
      <w:pPr>
        <w:pStyle w:val="Default"/>
        <w:rPr>
          <w:rFonts w:ascii="Myapro" w:hAnsi="Myapro"/>
          <w:b/>
          <w:bCs/>
          <w:sz w:val="28"/>
          <w:szCs w:val="28"/>
        </w:rPr>
      </w:pPr>
    </w:p>
    <w:p w:rsidR="00DB5348" w:rsidRDefault="00DB5348" w:rsidP="00DB5348">
      <w:pPr>
        <w:pStyle w:val="Default"/>
        <w:jc w:val="center"/>
        <w:rPr>
          <w:rFonts w:ascii="Myapro" w:hAnsi="Myapro"/>
          <w:b/>
          <w:bCs/>
          <w:sz w:val="28"/>
          <w:szCs w:val="28"/>
        </w:rPr>
      </w:pPr>
    </w:p>
    <w:p w:rsidR="00DB5348" w:rsidRDefault="00DB5348" w:rsidP="009101C8">
      <w:pPr>
        <w:pStyle w:val="Default"/>
        <w:rPr>
          <w:rFonts w:ascii="Myapro" w:hAnsi="Myapro"/>
          <w:b/>
          <w:bCs/>
          <w:sz w:val="28"/>
          <w:szCs w:val="28"/>
        </w:rPr>
      </w:pPr>
    </w:p>
    <w:p w:rsidR="00D13C29" w:rsidRDefault="00D13C29" w:rsidP="00320BE3">
      <w:pPr>
        <w:pStyle w:val="Default"/>
        <w:jc w:val="center"/>
        <w:rPr>
          <w:rFonts w:ascii="Myapro" w:hAnsi="Myapro"/>
          <w:b/>
          <w:bCs/>
          <w:sz w:val="28"/>
          <w:szCs w:val="28"/>
        </w:rPr>
      </w:pPr>
    </w:p>
    <w:p w:rsidR="00D13C29" w:rsidRDefault="00D13C29" w:rsidP="00320BE3">
      <w:pPr>
        <w:pStyle w:val="Default"/>
        <w:jc w:val="center"/>
        <w:rPr>
          <w:rFonts w:ascii="Myapro" w:hAnsi="Myapro"/>
          <w:b/>
          <w:bCs/>
          <w:sz w:val="28"/>
          <w:szCs w:val="28"/>
        </w:rPr>
      </w:pPr>
    </w:p>
    <w:p w:rsidR="00D13C29" w:rsidRPr="00E54799" w:rsidRDefault="00D13C29" w:rsidP="00D13C29">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color w:val="000000"/>
          <w:sz w:val="24"/>
          <w:szCs w:val="24"/>
        </w:rPr>
        <w:t xml:space="preserve">Para esta finalidad, especifique por favor qué tratamiento desea que se le dé a sus datos personales: </w:t>
      </w:r>
    </w:p>
    <w:p w:rsidR="00D13C29" w:rsidRPr="007C798A" w:rsidRDefault="00D13C29" w:rsidP="00D13C29">
      <w:pPr>
        <w:widowControl w:val="0"/>
        <w:tabs>
          <w:tab w:val="num" w:pos="720"/>
        </w:tabs>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eastAsia="es-MX"/>
        </w:rPr>
        <w:drawing>
          <wp:inline distT="0" distB="0" distL="0" distR="0" wp14:anchorId="5E7AF8DE" wp14:editId="2EAA4387">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Sí deseo que mis datos personales sean tratados para recibir información sobre acciones de capacitación o eventos de los SEQ. </w:t>
      </w:r>
    </w:p>
    <w:p w:rsidR="00D13C29" w:rsidRPr="007C798A" w:rsidRDefault="00D13C29" w:rsidP="00D13C29">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eastAsia="es-MX"/>
        </w:rPr>
        <w:drawing>
          <wp:inline distT="0" distB="0" distL="0" distR="0" wp14:anchorId="54ED6B95" wp14:editId="33450F4B">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No deseo que mis datos personales sean tratados para recibir información sobre acciones de capacitación o eventos de los SEQ. </w:t>
      </w:r>
    </w:p>
    <w:p w:rsidR="00D13C29" w:rsidRPr="007C798A" w:rsidRDefault="00D13C29" w:rsidP="00D13C29">
      <w:pPr>
        <w:pStyle w:val="Default"/>
        <w:jc w:val="both"/>
        <w:rPr>
          <w:rFonts w:ascii="Myapro" w:hAnsi="Myapro" w:cs="Arial"/>
        </w:rPr>
      </w:pPr>
    </w:p>
    <w:p w:rsidR="00D13C29" w:rsidRPr="007C798A" w:rsidRDefault="00D13C29" w:rsidP="00D13C29">
      <w:pPr>
        <w:pStyle w:val="Default"/>
        <w:jc w:val="both"/>
        <w:rPr>
          <w:rFonts w:ascii="Myapro" w:hAnsi="Myapro" w:cs="Arial"/>
        </w:rPr>
      </w:pPr>
      <w:r w:rsidRPr="007C798A">
        <w:rPr>
          <w:rFonts w:ascii="Myapro" w:hAnsi="Myapro" w:cs="Arial"/>
        </w:rPr>
        <w:t>Para las finalidades antes señaladas se recaban los siguientes datos personales:</w:t>
      </w:r>
    </w:p>
    <w:p w:rsidR="00F14667" w:rsidRPr="00AC0DD1" w:rsidRDefault="00F14667" w:rsidP="000A57DE">
      <w:pPr>
        <w:pStyle w:val="Default"/>
        <w:jc w:val="both"/>
        <w:rPr>
          <w:rFonts w:ascii="Myapro" w:hAnsi="Myapro"/>
          <w:b/>
          <w:caps/>
        </w:rPr>
      </w:pPr>
    </w:p>
    <w:p w:rsidR="000A57DE" w:rsidRDefault="00320BE3" w:rsidP="000A0610">
      <w:pPr>
        <w:pStyle w:val="Default"/>
        <w:numPr>
          <w:ilvl w:val="0"/>
          <w:numId w:val="2"/>
        </w:numPr>
        <w:jc w:val="both"/>
        <w:rPr>
          <w:rFonts w:ascii="Myapro" w:hAnsi="Myapro"/>
        </w:rPr>
      </w:pPr>
      <w:r>
        <w:rPr>
          <w:rFonts w:ascii="Myapro" w:hAnsi="Myapro"/>
        </w:rPr>
        <w:t>Acta de Nacimiento</w:t>
      </w:r>
    </w:p>
    <w:p w:rsidR="000A0610" w:rsidRDefault="00320BE3" w:rsidP="000A0610">
      <w:pPr>
        <w:pStyle w:val="Default"/>
        <w:numPr>
          <w:ilvl w:val="0"/>
          <w:numId w:val="2"/>
        </w:numPr>
        <w:jc w:val="both"/>
        <w:rPr>
          <w:rFonts w:ascii="Myapro" w:hAnsi="Myapro"/>
        </w:rPr>
      </w:pPr>
      <w:r>
        <w:rPr>
          <w:rFonts w:ascii="Myapro" w:hAnsi="Myapro"/>
        </w:rPr>
        <w:t>Certificado parcial del nivel a equiparar</w:t>
      </w:r>
    </w:p>
    <w:p w:rsidR="000A0610" w:rsidRDefault="00320BE3" w:rsidP="00320BE3">
      <w:pPr>
        <w:pStyle w:val="Default"/>
        <w:numPr>
          <w:ilvl w:val="0"/>
          <w:numId w:val="2"/>
        </w:numPr>
        <w:jc w:val="both"/>
        <w:rPr>
          <w:rFonts w:ascii="Myapro" w:hAnsi="Myapro"/>
        </w:rPr>
      </w:pPr>
      <w:r>
        <w:rPr>
          <w:rFonts w:ascii="Myapro" w:hAnsi="Myapro"/>
        </w:rPr>
        <w:t>Certificado del antecedente académico</w:t>
      </w:r>
    </w:p>
    <w:p w:rsidR="00E23442" w:rsidRDefault="00E23442" w:rsidP="00320BE3">
      <w:pPr>
        <w:pStyle w:val="Default"/>
        <w:numPr>
          <w:ilvl w:val="0"/>
          <w:numId w:val="2"/>
        </w:numPr>
        <w:jc w:val="both"/>
        <w:rPr>
          <w:rFonts w:ascii="Myapro" w:hAnsi="Myapro"/>
        </w:rPr>
      </w:pPr>
      <w:r>
        <w:rPr>
          <w:rFonts w:ascii="Myapro" w:hAnsi="Myapro"/>
        </w:rPr>
        <w:t>Domicilio</w:t>
      </w:r>
    </w:p>
    <w:p w:rsidR="00E23442" w:rsidRDefault="00E23442" w:rsidP="00320BE3">
      <w:pPr>
        <w:pStyle w:val="Default"/>
        <w:numPr>
          <w:ilvl w:val="0"/>
          <w:numId w:val="2"/>
        </w:numPr>
        <w:jc w:val="both"/>
        <w:rPr>
          <w:rFonts w:ascii="Myapro" w:hAnsi="Myapro"/>
        </w:rPr>
      </w:pPr>
      <w:r>
        <w:rPr>
          <w:rFonts w:ascii="Myapro" w:hAnsi="Myapro"/>
        </w:rPr>
        <w:t>Correo</w:t>
      </w:r>
      <w:r w:rsidR="00BD6261">
        <w:rPr>
          <w:rFonts w:ascii="Myapro" w:hAnsi="Myapro"/>
        </w:rPr>
        <w:t xml:space="preserve"> electrónico</w:t>
      </w:r>
    </w:p>
    <w:p w:rsidR="00E23442" w:rsidRPr="00320BE3" w:rsidRDefault="00E23442" w:rsidP="00320BE3">
      <w:pPr>
        <w:pStyle w:val="Default"/>
        <w:numPr>
          <w:ilvl w:val="0"/>
          <w:numId w:val="2"/>
        </w:numPr>
        <w:jc w:val="both"/>
        <w:rPr>
          <w:rFonts w:ascii="Myapro" w:hAnsi="Myapro"/>
        </w:rPr>
      </w:pPr>
      <w:r>
        <w:rPr>
          <w:rFonts w:ascii="Myapro" w:hAnsi="Myapro"/>
        </w:rPr>
        <w:t>Teléfono</w:t>
      </w:r>
    </w:p>
    <w:p w:rsidR="000A57DE" w:rsidRDefault="000A57DE" w:rsidP="000A57DE">
      <w:pPr>
        <w:pStyle w:val="Default"/>
        <w:jc w:val="both"/>
        <w:rPr>
          <w:rFonts w:ascii="Myapro" w:hAnsi="Myapro"/>
          <w:b/>
          <w:bCs/>
        </w:rPr>
      </w:pPr>
    </w:p>
    <w:p w:rsidR="00D13C29" w:rsidRPr="0046369F" w:rsidRDefault="00D13C29" w:rsidP="00D13C29">
      <w:pPr>
        <w:pStyle w:val="Default"/>
        <w:jc w:val="both"/>
        <w:rPr>
          <w:rFonts w:ascii="Myapro" w:hAnsi="Myapro"/>
          <w:b/>
          <w:bCs/>
        </w:rPr>
      </w:pPr>
      <w:r>
        <w:rPr>
          <w:rFonts w:ascii="Myapro" w:hAnsi="Myapro"/>
          <w:color w:val="auto"/>
        </w:rPr>
        <w:t xml:space="preserve">Se </w:t>
      </w:r>
      <w:r w:rsidRPr="007C798A">
        <w:rPr>
          <w:rFonts w:ascii="Myapro" w:hAnsi="Myapro"/>
          <w:color w:val="auto"/>
        </w:rPr>
        <w:t>informa que no se recabarán datos personales sensibles.</w:t>
      </w:r>
    </w:p>
    <w:p w:rsidR="00D13C29" w:rsidRPr="0046369F" w:rsidRDefault="00D13C29" w:rsidP="000A57DE">
      <w:pPr>
        <w:pStyle w:val="Default"/>
        <w:jc w:val="both"/>
        <w:rPr>
          <w:rFonts w:ascii="Myapro" w:hAnsi="Myapro"/>
          <w:b/>
          <w:bCs/>
        </w:rPr>
      </w:pPr>
    </w:p>
    <w:p w:rsidR="000A0610" w:rsidRPr="00AC0DD1" w:rsidRDefault="000A57DE" w:rsidP="000A57DE">
      <w:pPr>
        <w:pStyle w:val="Default"/>
        <w:jc w:val="both"/>
        <w:rPr>
          <w:rFonts w:ascii="Myapro" w:hAnsi="Myapro"/>
          <w:caps/>
        </w:rPr>
      </w:pPr>
      <w:r w:rsidRPr="00AC0DD1">
        <w:rPr>
          <w:rFonts w:ascii="Myapro" w:hAnsi="Myapro"/>
          <w:b/>
          <w:bCs/>
          <w:caps/>
        </w:rPr>
        <w:t xml:space="preserve">Fundamento para el tratamiento de datos personales </w:t>
      </w:r>
    </w:p>
    <w:p w:rsidR="00F14667" w:rsidRDefault="00F14667" w:rsidP="000A57DE">
      <w:pPr>
        <w:pStyle w:val="Default"/>
        <w:jc w:val="both"/>
        <w:rPr>
          <w:rFonts w:ascii="Myapro" w:hAnsi="Myapro"/>
        </w:rPr>
      </w:pPr>
    </w:p>
    <w:p w:rsidR="000A57DE" w:rsidRPr="00D13C29" w:rsidRDefault="00A34B13" w:rsidP="00D13C29">
      <w:pPr>
        <w:jc w:val="both"/>
        <w:rPr>
          <w:rFonts w:ascii="Myapro" w:hAnsi="Myapro"/>
          <w:sz w:val="24"/>
        </w:rPr>
      </w:pPr>
      <w:r>
        <w:rPr>
          <w:rFonts w:ascii="Myapro" w:hAnsi="Myapro"/>
        </w:rPr>
        <w:t xml:space="preserve">La </w:t>
      </w:r>
      <w:r w:rsidRPr="001866F9">
        <w:rPr>
          <w:rFonts w:ascii="Myarpro" w:hAnsi="Myarpro"/>
        </w:rPr>
        <w:t>Secretaría de Educación de Quintana Roo</w:t>
      </w:r>
      <w:r>
        <w:rPr>
          <w:rFonts w:ascii="Myapro" w:hAnsi="Myapro"/>
        </w:rPr>
        <w:t xml:space="preserve"> (SEQ),</w:t>
      </w:r>
      <w:r w:rsidR="000A57DE" w:rsidRPr="0046369F">
        <w:rPr>
          <w:rFonts w:ascii="Myapro" w:hAnsi="Myapro"/>
        </w:rPr>
        <w:t xml:space="preserve"> trata los datos personales antes señalados </w:t>
      </w:r>
      <w:r w:rsidR="00E3450D">
        <w:rPr>
          <w:rFonts w:ascii="Myapro" w:hAnsi="Myapro"/>
        </w:rPr>
        <w:t>con fundamento en el artículo 137</w:t>
      </w:r>
      <w:r w:rsidR="000A57DE" w:rsidRPr="0046369F">
        <w:rPr>
          <w:rFonts w:ascii="Myapro" w:hAnsi="Myapro"/>
        </w:rPr>
        <w:t xml:space="preserve"> de la Ley de Transparencia y Acceso Información Pública</w:t>
      </w:r>
      <w:r w:rsidR="00D13C29">
        <w:rPr>
          <w:rFonts w:ascii="Myapro" w:hAnsi="Myapro"/>
        </w:rPr>
        <w:t xml:space="preserve"> para el Estado de Quintana Roo, </w:t>
      </w:r>
      <w:r w:rsidR="00D13C29" w:rsidRPr="00C3261A">
        <w:rPr>
          <w:rFonts w:ascii="Myapro" w:hAnsi="Myapro"/>
          <w:sz w:val="24"/>
        </w:rPr>
        <w:t xml:space="preserve">artículo 14  fracción III de la Ley General de Educación, el Acuerdo 286 </w:t>
      </w:r>
      <w:r w:rsidR="00D13C29" w:rsidRPr="00C3261A">
        <w:rPr>
          <w:rFonts w:ascii="Myapro" w:hAnsi="Myapro"/>
          <w:shd w:val="clear" w:color="auto" w:fill="FFFFFF"/>
        </w:rPr>
        <w:t>por el que se establecen los lineamientos que determinan las normas y criterios generales, a que se ajustarán la revalidación de estudios realizados en el extranjero y la equivalencia de estudios, así como los procedimientos por medio de los cuales se acreditarán conocimientos correspondientes a niveles educativos o grados escolares adquiridos en forma autodidacta, a través de la experiencia laboral o con base en el régimen de certificación referido a la formación para el trabajo</w:t>
      </w:r>
      <w:r w:rsidR="00D13C29">
        <w:rPr>
          <w:rFonts w:ascii="Myapro" w:hAnsi="Myapro"/>
          <w:shd w:val="clear" w:color="auto" w:fill="FFFFFF"/>
        </w:rPr>
        <w:t xml:space="preserve"> y</w:t>
      </w:r>
      <w:r w:rsidR="00D13C29" w:rsidRPr="00C3261A">
        <w:rPr>
          <w:rFonts w:ascii="Myapro" w:hAnsi="Myapro"/>
          <w:shd w:val="clear" w:color="auto" w:fill="FFFFFF"/>
        </w:rPr>
        <w:t xml:space="preserve"> </w:t>
      </w:r>
      <w:r w:rsidR="00D13C29" w:rsidRPr="00C3261A">
        <w:rPr>
          <w:rFonts w:ascii="Myapro" w:hAnsi="Myapro"/>
          <w:sz w:val="24"/>
        </w:rPr>
        <w:t>artículos 27 fracción V y 142 de la Ley de Educación del Estado de Quintana Roo</w:t>
      </w:r>
      <w:r w:rsidR="00D13C29">
        <w:rPr>
          <w:rFonts w:ascii="Myapro" w:hAnsi="Myapro"/>
          <w:sz w:val="24"/>
        </w:rPr>
        <w:t>.</w:t>
      </w:r>
    </w:p>
    <w:p w:rsidR="000A57DE" w:rsidRPr="0046369F" w:rsidRDefault="000A57DE" w:rsidP="000A57DE">
      <w:pPr>
        <w:pStyle w:val="Default"/>
        <w:jc w:val="both"/>
        <w:rPr>
          <w:rFonts w:ascii="Myapro" w:hAnsi="Myapro"/>
          <w:b/>
          <w:bCs/>
        </w:rPr>
      </w:pPr>
    </w:p>
    <w:p w:rsidR="000A57DE" w:rsidRPr="00AC0DD1" w:rsidRDefault="000A57DE" w:rsidP="000A57DE">
      <w:pPr>
        <w:pStyle w:val="Default"/>
        <w:jc w:val="both"/>
        <w:rPr>
          <w:rFonts w:ascii="Myapro" w:hAnsi="Myapro"/>
          <w:caps/>
        </w:rPr>
      </w:pPr>
      <w:r w:rsidRPr="00AC0DD1">
        <w:rPr>
          <w:rFonts w:ascii="Myapro" w:hAnsi="Myapro"/>
          <w:b/>
          <w:bCs/>
          <w:caps/>
        </w:rPr>
        <w:t xml:space="preserve">Transferencia de Datos </w:t>
      </w:r>
    </w:p>
    <w:p w:rsidR="00F14667" w:rsidRPr="00AC0DD1" w:rsidRDefault="00F14667" w:rsidP="000A57DE">
      <w:pPr>
        <w:pStyle w:val="Default"/>
        <w:jc w:val="both"/>
        <w:rPr>
          <w:rFonts w:ascii="Myapro" w:hAnsi="Myapro"/>
          <w:caps/>
        </w:rPr>
      </w:pPr>
    </w:p>
    <w:p w:rsidR="000A57DE" w:rsidRPr="0046369F" w:rsidRDefault="000A57DE" w:rsidP="000A57DE">
      <w:pPr>
        <w:pStyle w:val="Default"/>
        <w:jc w:val="both"/>
        <w:rPr>
          <w:rFonts w:ascii="Myapro" w:hAnsi="Myapro"/>
        </w:rPr>
      </w:pPr>
      <w:r w:rsidRPr="0046369F">
        <w:rPr>
          <w:rFonts w:ascii="Myapro" w:hAnsi="Myapro"/>
        </w:rPr>
        <w:t xml:space="preserve">Se informa que no se realizarán transferencias de datos personales, salvo aquéllas que sean necesarias para atender requerimientos de información de una autoridad competente, que estén debidamente fundados y motivados. </w:t>
      </w:r>
    </w:p>
    <w:p w:rsidR="000A57DE" w:rsidRPr="0046369F" w:rsidRDefault="000A57DE" w:rsidP="000A57DE">
      <w:pPr>
        <w:pStyle w:val="Default"/>
        <w:jc w:val="both"/>
        <w:rPr>
          <w:rFonts w:ascii="Myapro" w:hAnsi="Myapro"/>
          <w:b/>
          <w:bCs/>
        </w:rPr>
      </w:pPr>
    </w:p>
    <w:p w:rsidR="00D13C29" w:rsidRDefault="00D13C29" w:rsidP="000A57DE">
      <w:pPr>
        <w:pStyle w:val="Default"/>
        <w:jc w:val="both"/>
        <w:rPr>
          <w:rFonts w:ascii="Myapro" w:hAnsi="Myapro"/>
          <w:b/>
          <w:bCs/>
          <w:caps/>
        </w:rPr>
      </w:pPr>
    </w:p>
    <w:p w:rsidR="00D13C29" w:rsidRDefault="00D13C29" w:rsidP="000A57DE">
      <w:pPr>
        <w:pStyle w:val="Default"/>
        <w:jc w:val="both"/>
        <w:rPr>
          <w:rFonts w:ascii="Myapro" w:hAnsi="Myapro"/>
          <w:b/>
          <w:bCs/>
          <w:caps/>
        </w:rPr>
      </w:pPr>
    </w:p>
    <w:p w:rsidR="00D13C29" w:rsidRDefault="00D13C29" w:rsidP="000A57DE">
      <w:pPr>
        <w:pStyle w:val="Default"/>
        <w:jc w:val="both"/>
        <w:rPr>
          <w:rFonts w:ascii="Myapro" w:hAnsi="Myapro"/>
          <w:b/>
          <w:bCs/>
          <w:caps/>
        </w:rPr>
      </w:pPr>
    </w:p>
    <w:p w:rsidR="00D13C29" w:rsidRDefault="00D13C29" w:rsidP="000A57DE">
      <w:pPr>
        <w:pStyle w:val="Default"/>
        <w:jc w:val="both"/>
        <w:rPr>
          <w:rFonts w:ascii="Myapro" w:hAnsi="Myapro"/>
          <w:b/>
          <w:bCs/>
          <w:caps/>
        </w:rPr>
      </w:pPr>
    </w:p>
    <w:p w:rsidR="000A57DE" w:rsidRPr="00AC0DD1" w:rsidRDefault="000A57DE" w:rsidP="000A57DE">
      <w:pPr>
        <w:pStyle w:val="Default"/>
        <w:jc w:val="both"/>
        <w:rPr>
          <w:rFonts w:ascii="Myapro" w:hAnsi="Myapro"/>
          <w:b/>
          <w:bCs/>
          <w:caps/>
        </w:rPr>
      </w:pPr>
      <w:r w:rsidRPr="00AC0DD1">
        <w:rPr>
          <w:rFonts w:ascii="Myapro" w:hAnsi="Myapro"/>
          <w:b/>
          <w:bCs/>
          <w:caps/>
        </w:rPr>
        <w:t>¿Dónde se pueden ejercer los derechos de acceso, rectificación</w:t>
      </w:r>
      <w:r w:rsidR="00364082">
        <w:rPr>
          <w:rFonts w:ascii="Myapro" w:hAnsi="Myapro"/>
          <w:b/>
          <w:bCs/>
          <w:caps/>
        </w:rPr>
        <w:t>,</w:t>
      </w:r>
      <w:r w:rsidRPr="00AC0DD1">
        <w:rPr>
          <w:rFonts w:ascii="Myapro" w:hAnsi="Myapro"/>
          <w:b/>
          <w:bCs/>
          <w:caps/>
        </w:rPr>
        <w:t xml:space="preserve"> corrección y oposición de datos personales? </w:t>
      </w:r>
    </w:p>
    <w:p w:rsidR="00F14667" w:rsidRPr="00AC0DD1" w:rsidRDefault="00F14667" w:rsidP="000A57DE">
      <w:pPr>
        <w:pStyle w:val="Default"/>
        <w:jc w:val="both"/>
        <w:rPr>
          <w:rFonts w:ascii="Myapro" w:hAnsi="Myapro"/>
          <w:caps/>
        </w:rPr>
      </w:pPr>
    </w:p>
    <w:p w:rsidR="00AC0DD1" w:rsidRDefault="000A57DE" w:rsidP="00D13C29">
      <w:pPr>
        <w:pStyle w:val="Default"/>
        <w:jc w:val="both"/>
        <w:rPr>
          <w:rFonts w:ascii="Myapro" w:hAnsi="Myapro"/>
        </w:rPr>
      </w:pPr>
      <w:r w:rsidRPr="0046369F">
        <w:rPr>
          <w:rFonts w:ascii="Myapro" w:hAnsi="Myapro"/>
        </w:rPr>
        <w:t xml:space="preserve">El Titular de los Datos Personales, podrá ejercer sus derechos de Acceso, Rectificación, Cancelación y Oposición (ARCO), solicitando lo conducente ante la </w:t>
      </w:r>
      <w:r w:rsidR="00B26547" w:rsidRPr="00B26547">
        <w:rPr>
          <w:rFonts w:ascii="Myapro" w:hAnsi="Myapro"/>
          <w:b/>
        </w:rPr>
        <w:t>Unidad de Enlace para la Transparencia y Acceso a la Información Pública</w:t>
      </w:r>
      <w:r w:rsidRPr="0046369F">
        <w:rPr>
          <w:rFonts w:ascii="Myapro" w:hAnsi="Myapro"/>
        </w:rPr>
        <w:t>, ub</w:t>
      </w:r>
      <w:r w:rsidR="00B26547">
        <w:rPr>
          <w:rFonts w:ascii="Myapro" w:hAnsi="Myapro"/>
        </w:rPr>
        <w:t xml:space="preserve">icada en avenida </w:t>
      </w:r>
      <w:r w:rsidR="00AC0DD1">
        <w:rPr>
          <w:rFonts w:ascii="Myapro" w:hAnsi="Myapro"/>
        </w:rPr>
        <w:t>Insurgentes, colonia Gonzalo Guerrero</w:t>
      </w:r>
      <w:r w:rsidRPr="0046369F">
        <w:rPr>
          <w:rFonts w:ascii="Myapro" w:hAnsi="Myapro"/>
        </w:rPr>
        <w:t>, códi</w:t>
      </w:r>
      <w:r w:rsidR="00AC0DD1">
        <w:rPr>
          <w:rFonts w:ascii="Myapro" w:hAnsi="Myapro"/>
        </w:rPr>
        <w:t>go postal 77020</w:t>
      </w:r>
      <w:r w:rsidRPr="0046369F">
        <w:rPr>
          <w:rFonts w:ascii="Myapro" w:hAnsi="Myapro"/>
        </w:rPr>
        <w:t xml:space="preserve">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w:t>
      </w:r>
      <w:r w:rsidR="00A34B13">
        <w:rPr>
          <w:rFonts w:ascii="Myapro" w:hAnsi="Myapro"/>
        </w:rPr>
        <w:t xml:space="preserve">d de Derechos ARCO de la </w:t>
      </w:r>
      <w:r w:rsidR="00A34B13" w:rsidRPr="001866F9">
        <w:rPr>
          <w:rFonts w:ascii="Myarpro" w:hAnsi="Myarpro"/>
        </w:rPr>
        <w:t>Secretaría de Educación de Quintana Roo</w:t>
      </w:r>
      <w:r w:rsidR="00A34B13">
        <w:rPr>
          <w:rFonts w:ascii="Myapro" w:hAnsi="Myapro"/>
        </w:rPr>
        <w:t xml:space="preserve"> (SEQ)</w:t>
      </w:r>
      <w:r w:rsidRPr="0046369F">
        <w:rPr>
          <w:rFonts w:ascii="Myapro" w:hAnsi="Myapro"/>
        </w:rPr>
        <w:t xml:space="preserve">, mismo que podrá descargar en la presente liga: </w:t>
      </w:r>
      <w:hyperlink r:id="rId10" w:history="1">
        <w:r w:rsidR="00303536" w:rsidRPr="002C5739">
          <w:rPr>
            <w:rStyle w:val="Hipervnculo"/>
            <w:rFonts w:ascii="Myapro" w:hAnsi="Myapro"/>
          </w:rPr>
          <w:t>http://qroo.gob.mx/seq/datos-personales</w:t>
        </w:r>
      </w:hyperlink>
      <w:r w:rsidR="00303536">
        <w:rPr>
          <w:rFonts w:ascii="Myapro" w:hAnsi="Myapro"/>
        </w:rPr>
        <w:t xml:space="preserve">  o </w:t>
      </w:r>
      <w:r w:rsidR="00303536" w:rsidRPr="00757909">
        <w:rPr>
          <w:rFonts w:ascii="Myapro" w:hAnsi="Myapro"/>
        </w:rPr>
        <w:t xml:space="preserve">a través del Sistema INFOMEX Quintana Roo, mediante la liga: </w:t>
      </w:r>
      <w:hyperlink r:id="rId11" w:history="1">
        <w:r w:rsidR="00D13C29" w:rsidRPr="002C5739">
          <w:rPr>
            <w:rStyle w:val="Hipervnculo"/>
            <w:rFonts w:ascii="Myapro" w:hAnsi="Myapro"/>
          </w:rPr>
          <w:t>http://infomex.qroo.gob.mx</w:t>
        </w:r>
      </w:hyperlink>
    </w:p>
    <w:p w:rsidR="00D13C29" w:rsidRPr="00D13C29" w:rsidRDefault="00D13C29" w:rsidP="00D13C29">
      <w:pPr>
        <w:pStyle w:val="Default"/>
        <w:jc w:val="both"/>
        <w:rPr>
          <w:rFonts w:ascii="Myapro" w:hAnsi="Myapro"/>
          <w:u w:val="single"/>
        </w:rPr>
      </w:pPr>
    </w:p>
    <w:p w:rsidR="00D13C29" w:rsidRDefault="000A57DE" w:rsidP="001C675A">
      <w:pPr>
        <w:jc w:val="both"/>
        <w:rPr>
          <w:rFonts w:ascii="Myapro" w:hAnsi="Myapro"/>
          <w:sz w:val="24"/>
          <w:szCs w:val="24"/>
        </w:rPr>
      </w:pPr>
      <w:r w:rsidRPr="00AC0DD1">
        <w:rPr>
          <w:rFonts w:ascii="Myapro" w:hAnsi="Myapro"/>
          <w:sz w:val="24"/>
          <w:szCs w:val="24"/>
        </w:rPr>
        <w:t>En el caso de requerir asesoría en el tema de Protección de Datos Personales</w:t>
      </w:r>
      <w:r w:rsidR="00A34B13">
        <w:rPr>
          <w:rFonts w:ascii="Myapro" w:hAnsi="Myapro"/>
          <w:sz w:val="24"/>
          <w:szCs w:val="24"/>
        </w:rPr>
        <w:t xml:space="preserve">, puede acudir ante </w:t>
      </w:r>
      <w:r w:rsidR="00A34B13">
        <w:rPr>
          <w:rFonts w:ascii="Myapro" w:hAnsi="Myapro"/>
        </w:rPr>
        <w:t xml:space="preserve">la </w:t>
      </w:r>
      <w:r w:rsidR="00A34B13" w:rsidRPr="001866F9">
        <w:rPr>
          <w:rFonts w:ascii="Myarpro" w:hAnsi="Myarpro"/>
          <w:sz w:val="24"/>
          <w:szCs w:val="24"/>
        </w:rPr>
        <w:t>Secretaría de Educación de Quintana Roo</w:t>
      </w:r>
      <w:r w:rsidR="00A34B13">
        <w:rPr>
          <w:rFonts w:ascii="Myapro" w:hAnsi="Myapro"/>
        </w:rPr>
        <w:t xml:space="preserve"> (SEQ)</w:t>
      </w:r>
      <w:r w:rsidR="00AC0DD1" w:rsidRPr="00AC0DD1">
        <w:rPr>
          <w:rFonts w:ascii="Myapro" w:hAnsi="Myapro"/>
          <w:sz w:val="24"/>
          <w:szCs w:val="24"/>
        </w:rPr>
        <w:t>, con el Lic. Enrique Miguel Paniagua Lara, quien ocupa el cargo de Director de Asuntos Jurídicos</w:t>
      </w:r>
      <w:r w:rsidRPr="00AC0DD1">
        <w:rPr>
          <w:rFonts w:ascii="Myapro" w:hAnsi="Myapro"/>
          <w:sz w:val="24"/>
          <w:szCs w:val="24"/>
        </w:rPr>
        <w:t xml:space="preserve">, en horario de atención de lunes a viernes de 09:00 a 16:00 horas. </w:t>
      </w:r>
    </w:p>
    <w:p w:rsidR="00D13C29" w:rsidRDefault="000A57DE" w:rsidP="001C675A">
      <w:pPr>
        <w:jc w:val="both"/>
        <w:rPr>
          <w:rFonts w:ascii="Myapro" w:hAnsi="Myapro"/>
          <w:sz w:val="24"/>
          <w:szCs w:val="24"/>
        </w:rPr>
      </w:pPr>
      <w:r w:rsidRPr="00AC0DD1">
        <w:rPr>
          <w:rFonts w:ascii="Myapro" w:hAnsi="Myapro"/>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w:t>
      </w:r>
      <w:r w:rsidR="003162E2" w:rsidRPr="00AC0DD1">
        <w:rPr>
          <w:rFonts w:ascii="Myapro" w:hAnsi="Myapro"/>
          <w:sz w:val="24"/>
          <w:szCs w:val="24"/>
        </w:rPr>
        <w:t>Ley General</w:t>
      </w:r>
      <w:r w:rsidR="003162E2">
        <w:rPr>
          <w:rFonts w:ascii="Myapro" w:hAnsi="Myapro"/>
          <w:sz w:val="24"/>
          <w:szCs w:val="24"/>
        </w:rPr>
        <w:t xml:space="preserve"> de</w:t>
      </w:r>
      <w:r w:rsidR="00D13C29">
        <w:rPr>
          <w:rFonts w:ascii="Myapro" w:hAnsi="Myapro"/>
          <w:sz w:val="24"/>
          <w:szCs w:val="24"/>
        </w:rPr>
        <w:t xml:space="preserve"> Protección de Datos Personales en Posesión de Sujetos Obligados</w:t>
      </w:r>
      <w:r w:rsidR="003162E2" w:rsidRPr="00AC0DD1">
        <w:rPr>
          <w:rFonts w:ascii="Myapro" w:hAnsi="Myapro"/>
          <w:sz w:val="24"/>
          <w:szCs w:val="24"/>
        </w:rPr>
        <w:t xml:space="preserve"> </w:t>
      </w:r>
      <w:r w:rsidRPr="00AC0DD1">
        <w:rPr>
          <w:rFonts w:ascii="Myapro" w:hAnsi="Myapro"/>
          <w:sz w:val="24"/>
          <w:szCs w:val="24"/>
        </w:rPr>
        <w:t xml:space="preserve">y los artículos 115 al 135 de la Ley Local en la materia. </w:t>
      </w:r>
    </w:p>
    <w:p w:rsidR="001C675A" w:rsidRDefault="000A57DE" w:rsidP="001C675A">
      <w:pPr>
        <w:jc w:val="both"/>
        <w:rPr>
          <w:rFonts w:ascii="Myapro" w:hAnsi="Myapro"/>
          <w:sz w:val="24"/>
          <w:szCs w:val="24"/>
        </w:rPr>
      </w:pPr>
      <w:r w:rsidRPr="00AC0DD1">
        <w:rPr>
          <w:rFonts w:ascii="Myapro" w:hAnsi="Myapro"/>
          <w:sz w:val="24"/>
          <w:szCs w:val="24"/>
        </w:rPr>
        <w:t xml:space="preserve">En caso de que exista un cambio en este </w:t>
      </w:r>
      <w:r w:rsidRPr="00AC0DD1">
        <w:rPr>
          <w:rFonts w:ascii="Myapro" w:hAnsi="Myapro"/>
          <w:b/>
          <w:bCs/>
          <w:sz w:val="24"/>
          <w:szCs w:val="24"/>
        </w:rPr>
        <w:t>Aviso de Privacidad</w:t>
      </w:r>
      <w:r w:rsidRPr="00AC0DD1">
        <w:rPr>
          <w:rFonts w:ascii="Myapro" w:hAnsi="Myapro"/>
          <w:sz w:val="24"/>
          <w:szCs w:val="24"/>
        </w:rPr>
        <w:t xml:space="preserve">, </w:t>
      </w:r>
      <w:r w:rsidR="001C675A" w:rsidRPr="00AC0DD1">
        <w:rPr>
          <w:rFonts w:ascii="Myapro" w:hAnsi="Myapro"/>
          <w:sz w:val="24"/>
          <w:szCs w:val="24"/>
        </w:rPr>
        <w:t>lo ha</w:t>
      </w:r>
      <w:r w:rsidR="001C675A">
        <w:rPr>
          <w:rFonts w:ascii="Myapro" w:hAnsi="Myapro"/>
          <w:sz w:val="24"/>
          <w:szCs w:val="24"/>
        </w:rPr>
        <w:t xml:space="preserve">remos de su conocimiento </w:t>
      </w:r>
      <w:r w:rsidR="001C675A" w:rsidRPr="00AC0DD1">
        <w:rPr>
          <w:rFonts w:ascii="Myapro" w:hAnsi="Myapro"/>
          <w:sz w:val="24"/>
          <w:szCs w:val="24"/>
        </w:rPr>
        <w:t xml:space="preserve">y a través del sitio </w:t>
      </w:r>
      <w:r w:rsidR="001C675A">
        <w:rPr>
          <w:rFonts w:ascii="Myapro" w:hAnsi="Myapro"/>
          <w:sz w:val="24"/>
          <w:szCs w:val="24"/>
        </w:rPr>
        <w:t>web de la Dependencia http://qroo.gob.mx/seq</w:t>
      </w:r>
      <w:r w:rsidR="001C675A" w:rsidRPr="00AC0DD1">
        <w:rPr>
          <w:rFonts w:ascii="Myapro" w:hAnsi="Myapro"/>
          <w:sz w:val="24"/>
          <w:szCs w:val="24"/>
        </w:rPr>
        <w:t xml:space="preserve"> </w:t>
      </w:r>
      <w:r w:rsidR="001C675A">
        <w:rPr>
          <w:rFonts w:ascii="Myapro" w:hAnsi="Myapro"/>
          <w:sz w:val="24"/>
          <w:szCs w:val="24"/>
        </w:rPr>
        <w:t xml:space="preserve"> </w:t>
      </w:r>
      <w:r w:rsidR="001C675A" w:rsidRPr="00AC0DD1">
        <w:rPr>
          <w:rFonts w:ascii="Myapro" w:hAnsi="Myapro"/>
          <w:sz w:val="24"/>
          <w:szCs w:val="24"/>
        </w:rPr>
        <w:t>en la sección “Datos Personales”.</w:t>
      </w:r>
    </w:p>
    <w:p w:rsidR="00967BB8" w:rsidRDefault="00967BB8" w:rsidP="000A57DE">
      <w:pPr>
        <w:jc w:val="both"/>
        <w:rPr>
          <w:rFonts w:ascii="Myapro" w:hAnsi="Myapro"/>
          <w:sz w:val="24"/>
          <w:szCs w:val="24"/>
        </w:rPr>
      </w:pPr>
    </w:p>
    <w:p w:rsidR="00967BB8" w:rsidRDefault="00967BB8" w:rsidP="000A57DE">
      <w:pPr>
        <w:jc w:val="both"/>
        <w:rPr>
          <w:rFonts w:ascii="Myapro" w:hAnsi="Myapro"/>
          <w:sz w:val="24"/>
          <w:szCs w:val="24"/>
        </w:rPr>
      </w:pPr>
    </w:p>
    <w:p w:rsidR="00967BB8" w:rsidRDefault="00967BB8" w:rsidP="000A57DE">
      <w:pPr>
        <w:jc w:val="both"/>
        <w:rPr>
          <w:rFonts w:ascii="Myapro" w:hAnsi="Myapro"/>
          <w:sz w:val="24"/>
          <w:szCs w:val="24"/>
        </w:rPr>
      </w:pPr>
    </w:p>
    <w:p w:rsidR="00967BB8" w:rsidRDefault="00967BB8" w:rsidP="000A57DE">
      <w:pPr>
        <w:jc w:val="both"/>
        <w:rPr>
          <w:rFonts w:ascii="Myapro" w:hAnsi="Myapro"/>
          <w:sz w:val="24"/>
          <w:szCs w:val="24"/>
        </w:rPr>
      </w:pPr>
    </w:p>
    <w:p w:rsidR="00967BB8" w:rsidRDefault="00967BB8" w:rsidP="000A57DE">
      <w:pPr>
        <w:jc w:val="both"/>
        <w:rPr>
          <w:rFonts w:ascii="Myapro" w:hAnsi="Myapro"/>
          <w:sz w:val="24"/>
          <w:szCs w:val="24"/>
        </w:rPr>
      </w:pPr>
    </w:p>
    <w:p w:rsidR="00967BB8" w:rsidRDefault="00967BB8" w:rsidP="000A57DE">
      <w:pPr>
        <w:jc w:val="both"/>
        <w:rPr>
          <w:rFonts w:ascii="Myapro" w:hAnsi="Myapro"/>
          <w:sz w:val="24"/>
          <w:szCs w:val="24"/>
        </w:rPr>
      </w:pPr>
    </w:p>
    <w:p w:rsidR="00967BB8" w:rsidRDefault="00967BB8" w:rsidP="000A57DE">
      <w:pPr>
        <w:jc w:val="both"/>
        <w:rPr>
          <w:rFonts w:ascii="Myapro" w:hAnsi="Myapro"/>
          <w:sz w:val="24"/>
          <w:szCs w:val="24"/>
        </w:rPr>
      </w:pPr>
    </w:p>
    <w:p w:rsidR="00967BB8" w:rsidRDefault="00967BB8" w:rsidP="000A57DE">
      <w:pPr>
        <w:jc w:val="both"/>
        <w:rPr>
          <w:rFonts w:ascii="Myapro" w:hAnsi="Myapro"/>
          <w:sz w:val="24"/>
          <w:szCs w:val="24"/>
        </w:rPr>
      </w:pPr>
    </w:p>
    <w:p w:rsidR="00967BB8" w:rsidRDefault="00967BB8" w:rsidP="000A57DE">
      <w:pPr>
        <w:jc w:val="both"/>
        <w:rPr>
          <w:rFonts w:ascii="Myapro" w:hAnsi="Myapro"/>
          <w:sz w:val="24"/>
          <w:szCs w:val="24"/>
        </w:rPr>
      </w:pPr>
    </w:p>
    <w:p w:rsidR="00D13C29" w:rsidRDefault="00D13C29" w:rsidP="000A57DE">
      <w:pPr>
        <w:jc w:val="both"/>
        <w:rPr>
          <w:rFonts w:ascii="Myapro" w:hAnsi="Myapro"/>
          <w:sz w:val="24"/>
          <w:szCs w:val="24"/>
        </w:rPr>
      </w:pPr>
    </w:p>
    <w:p w:rsidR="00967BB8" w:rsidRDefault="00967BB8" w:rsidP="000A57DE">
      <w:pPr>
        <w:jc w:val="both"/>
        <w:rPr>
          <w:rFonts w:ascii="Myapro" w:hAnsi="Myapro"/>
          <w:sz w:val="24"/>
          <w:szCs w:val="24"/>
        </w:rPr>
      </w:pPr>
    </w:p>
    <w:p w:rsidR="00967BB8" w:rsidRDefault="00967BB8" w:rsidP="00967BB8">
      <w:pPr>
        <w:pStyle w:val="Default"/>
        <w:jc w:val="both"/>
      </w:pPr>
      <w:r>
        <w:rPr>
          <w:b/>
          <w:bCs/>
          <w:sz w:val="20"/>
          <w:szCs w:val="20"/>
          <w:u w:val="single"/>
        </w:rPr>
        <w:t>Aviso de Privacidad: De</w:t>
      </w:r>
      <w:r w:rsidR="00842FB9">
        <w:rPr>
          <w:b/>
          <w:bCs/>
          <w:sz w:val="20"/>
          <w:szCs w:val="20"/>
          <w:u w:val="single"/>
        </w:rPr>
        <w:t>l trámite de</w:t>
      </w:r>
      <w:r>
        <w:rPr>
          <w:b/>
          <w:bCs/>
          <w:sz w:val="20"/>
          <w:szCs w:val="20"/>
          <w:u w:val="single"/>
        </w:rPr>
        <w:t xml:space="preserve"> resolución de </w:t>
      </w:r>
      <w:r w:rsidR="00735B27">
        <w:rPr>
          <w:b/>
          <w:bCs/>
          <w:sz w:val="20"/>
          <w:szCs w:val="20"/>
          <w:u w:val="single"/>
        </w:rPr>
        <w:t>Equivalencia de Estudios de Tipo Media</w:t>
      </w:r>
      <w:r>
        <w:rPr>
          <w:b/>
          <w:bCs/>
          <w:sz w:val="20"/>
          <w:szCs w:val="20"/>
          <w:u w:val="single"/>
        </w:rPr>
        <w:t xml:space="preserve"> Superior y Superior.</w:t>
      </w:r>
    </w:p>
    <w:p w:rsidR="00967BB8" w:rsidRDefault="00967BB8" w:rsidP="00967BB8">
      <w:pPr>
        <w:pStyle w:val="Default"/>
        <w:jc w:val="both"/>
        <w:rPr>
          <w:sz w:val="18"/>
          <w:szCs w:val="18"/>
        </w:rPr>
      </w:pPr>
      <w:r>
        <w:rPr>
          <w:b/>
          <w:bCs/>
          <w:sz w:val="18"/>
          <w:szCs w:val="18"/>
        </w:rPr>
        <w:t xml:space="preserve">*Aviso de Privacidad: </w:t>
      </w:r>
      <w:r>
        <w:rPr>
          <w:sz w:val="18"/>
          <w:szCs w:val="18"/>
        </w:rPr>
        <w:t xml:space="preserve">En cumplimiento a Ley General de Protección de Datos Personales en Posesión de los Sujetos Obligados y la Ley de Protección de Datos Personales en Posesión de Sujetos Obligados de Quintana Roo, </w:t>
      </w:r>
      <w:r w:rsidRPr="005641C2">
        <w:rPr>
          <w:sz w:val="18"/>
          <w:szCs w:val="18"/>
        </w:rPr>
        <w:t>la Secretaría de Educación de Quintana Roo (SEQ)</w:t>
      </w:r>
      <w:r>
        <w:rPr>
          <w:sz w:val="18"/>
          <w:szCs w:val="18"/>
        </w:rPr>
        <w:t xml:space="preserve">,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w:t>
      </w:r>
    </w:p>
    <w:p w:rsidR="00314B65" w:rsidRDefault="00967BB8" w:rsidP="00314B65">
      <w:pPr>
        <w:jc w:val="both"/>
        <w:rPr>
          <w:sz w:val="18"/>
          <w:szCs w:val="18"/>
          <w:u w:val="single"/>
        </w:rPr>
      </w:pPr>
      <w:r>
        <w:rPr>
          <w:sz w:val="18"/>
          <w:szCs w:val="18"/>
        </w:rPr>
        <w:t xml:space="preserve">Los Datos Personales que recabamos de Usted, los utilizaremos principalmente para </w:t>
      </w:r>
      <w:r w:rsidR="004C216A">
        <w:rPr>
          <w:sz w:val="18"/>
          <w:szCs w:val="18"/>
        </w:rPr>
        <w:t>el trámite de resolución de equivalencias de estudios realizados dentro del Sistema Educativo Nacional que sean equiparables entre s</w:t>
      </w:r>
      <w:r w:rsidR="00E23442">
        <w:rPr>
          <w:sz w:val="18"/>
          <w:szCs w:val="18"/>
        </w:rPr>
        <w:t>í</w:t>
      </w:r>
      <w:r w:rsidR="004C216A">
        <w:rPr>
          <w:sz w:val="18"/>
          <w:szCs w:val="18"/>
        </w:rPr>
        <w:t xml:space="preserve"> </w:t>
      </w:r>
      <w:r>
        <w:rPr>
          <w:sz w:val="18"/>
          <w:szCs w:val="18"/>
        </w:rPr>
        <w:t xml:space="preserve"> y de manera adicional, para el control interno, la elaboración de informes sobre el servicio brindado y con fines estadísticos; asumiendo la obligación de cumplir con las medidas legales y de seguridad suficientes para proteger los Datos Personales que se hayan recabado. Para mayor detalle consulte, nuestro </w:t>
      </w:r>
      <w:r>
        <w:rPr>
          <w:b/>
          <w:bCs/>
          <w:sz w:val="18"/>
          <w:szCs w:val="18"/>
        </w:rPr>
        <w:t xml:space="preserve">Aviso de Privacidad Integral </w:t>
      </w:r>
      <w:r>
        <w:rPr>
          <w:sz w:val="18"/>
          <w:szCs w:val="18"/>
        </w:rPr>
        <w:t xml:space="preserve">en: </w:t>
      </w:r>
      <w:r w:rsidR="00314B65" w:rsidRPr="00757909">
        <w:rPr>
          <w:rFonts w:asciiTheme="majorHAnsi" w:hAnsiTheme="majorHAnsi" w:cstheme="majorHAnsi"/>
          <w:sz w:val="18"/>
          <w:szCs w:val="18"/>
        </w:rPr>
        <w:t>http://qroo.gob.mx/seq en la sección “Datos Personales”</w:t>
      </w:r>
      <w:r w:rsidR="00314B65">
        <w:rPr>
          <w:rFonts w:asciiTheme="majorHAnsi" w:hAnsiTheme="majorHAnsi" w:cstheme="majorHAnsi"/>
          <w:sz w:val="18"/>
          <w:szCs w:val="18"/>
        </w:rPr>
        <w:t>.</w:t>
      </w:r>
    </w:p>
    <w:p w:rsidR="00967BB8" w:rsidRDefault="00967BB8" w:rsidP="00967BB8">
      <w:pPr>
        <w:jc w:val="both"/>
        <w:rPr>
          <w:sz w:val="18"/>
          <w:szCs w:val="18"/>
          <w:u w:val="single"/>
        </w:rPr>
      </w:pPr>
    </w:p>
    <w:p w:rsidR="00967BB8" w:rsidRPr="00AC0DD1" w:rsidRDefault="00967BB8" w:rsidP="000A57DE">
      <w:pPr>
        <w:jc w:val="both"/>
        <w:rPr>
          <w:rFonts w:ascii="Myapro" w:hAnsi="Myapro"/>
          <w:sz w:val="24"/>
          <w:szCs w:val="24"/>
        </w:rPr>
      </w:pPr>
    </w:p>
    <w:sectPr w:rsidR="00967BB8" w:rsidRPr="00AC0DD1" w:rsidSect="00A17820">
      <w:headerReference w:type="default" r:id="rId12"/>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77" w:rsidRDefault="00B02C77">
      <w:pPr>
        <w:spacing w:after="0" w:line="240" w:lineRule="auto"/>
      </w:pPr>
      <w:r>
        <w:separator/>
      </w:r>
    </w:p>
  </w:endnote>
  <w:endnote w:type="continuationSeparator" w:id="0">
    <w:p w:rsidR="00B02C77" w:rsidRDefault="00B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yriad Pro">
    <w:altName w:val="Arial"/>
    <w:charset w:val="00"/>
    <w:family w:val="auto"/>
    <w:pitch w:val="variable"/>
    <w:sig w:usb0="00000001"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yapro">
    <w:altName w:val="Times New Roman"/>
    <w:panose1 w:val="00000000000000000000"/>
    <w:charset w:val="00"/>
    <w:family w:val="roman"/>
    <w:notTrueType/>
    <w:pitch w:val="default"/>
  </w:font>
  <w:font w:name="Myar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77" w:rsidRDefault="00B02C77">
      <w:pPr>
        <w:spacing w:after="0" w:line="240" w:lineRule="auto"/>
      </w:pPr>
      <w:r>
        <w:separator/>
      </w:r>
    </w:p>
  </w:footnote>
  <w:footnote w:type="continuationSeparator" w:id="0">
    <w:p w:rsidR="00B02C77" w:rsidRDefault="00B02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9F" w:rsidRDefault="008E709F">
    <w:pPr>
      <w:pStyle w:val="Encabezado"/>
    </w:pPr>
    <w:r w:rsidRPr="00BB5565">
      <w:rPr>
        <w:noProof/>
        <w:lang w:val="es-MX" w:eastAsia="es-MX"/>
      </w:rPr>
      <w:drawing>
        <wp:anchor distT="0" distB="0" distL="114300" distR="114300" simplePos="0" relativeHeight="251658240" behindDoc="1" locked="0" layoutInCell="1" allowOverlap="1">
          <wp:simplePos x="0" y="0"/>
          <wp:positionH relativeFrom="column">
            <wp:posOffset>-1143677</wp:posOffset>
          </wp:positionH>
          <wp:positionV relativeFrom="paragraph">
            <wp:posOffset>-465483</wp:posOffset>
          </wp:positionV>
          <wp:extent cx="7924662" cy="10202912"/>
          <wp:effectExtent l="0" t="0" r="0" b="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9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3F68"/>
    <w:multiLevelType w:val="hybridMultilevel"/>
    <w:tmpl w:val="8CB213B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599D1EDD"/>
    <w:multiLevelType w:val="hybridMultilevel"/>
    <w:tmpl w:val="74F8F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MX" w:vendorID="64" w:dllVersion="131078" w:nlCheck="1" w:checkStyle="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50CF1"/>
    <w:rsid w:val="000A0610"/>
    <w:rsid w:val="000A57DE"/>
    <w:rsid w:val="000D7880"/>
    <w:rsid w:val="001002D9"/>
    <w:rsid w:val="00122DFA"/>
    <w:rsid w:val="00170D67"/>
    <w:rsid w:val="001865DB"/>
    <w:rsid w:val="001866F9"/>
    <w:rsid w:val="0019520A"/>
    <w:rsid w:val="00197D0A"/>
    <w:rsid w:val="001B4FE6"/>
    <w:rsid w:val="001B5EAE"/>
    <w:rsid w:val="001C675A"/>
    <w:rsid w:val="001D6528"/>
    <w:rsid w:val="0021792D"/>
    <w:rsid w:val="00246D3B"/>
    <w:rsid w:val="00264F3B"/>
    <w:rsid w:val="0029094B"/>
    <w:rsid w:val="002B1E36"/>
    <w:rsid w:val="00303536"/>
    <w:rsid w:val="00314B65"/>
    <w:rsid w:val="003162E2"/>
    <w:rsid w:val="00320BE3"/>
    <w:rsid w:val="00333AEB"/>
    <w:rsid w:val="00356989"/>
    <w:rsid w:val="00364082"/>
    <w:rsid w:val="003656B7"/>
    <w:rsid w:val="003B31EA"/>
    <w:rsid w:val="003D560F"/>
    <w:rsid w:val="003E4E67"/>
    <w:rsid w:val="003F2AF6"/>
    <w:rsid w:val="00407070"/>
    <w:rsid w:val="0040759A"/>
    <w:rsid w:val="00420D47"/>
    <w:rsid w:val="004233D1"/>
    <w:rsid w:val="0042470C"/>
    <w:rsid w:val="0046369F"/>
    <w:rsid w:val="004739F5"/>
    <w:rsid w:val="0049199C"/>
    <w:rsid w:val="004B6B97"/>
    <w:rsid w:val="004C216A"/>
    <w:rsid w:val="004F22FE"/>
    <w:rsid w:val="004F406C"/>
    <w:rsid w:val="005433EA"/>
    <w:rsid w:val="00566E96"/>
    <w:rsid w:val="00574F27"/>
    <w:rsid w:val="005C3EED"/>
    <w:rsid w:val="005C6BFF"/>
    <w:rsid w:val="005F4FBE"/>
    <w:rsid w:val="005F616C"/>
    <w:rsid w:val="006411D4"/>
    <w:rsid w:val="006962D2"/>
    <w:rsid w:val="006E1635"/>
    <w:rsid w:val="006F3D95"/>
    <w:rsid w:val="007233C2"/>
    <w:rsid w:val="00735B27"/>
    <w:rsid w:val="007C589D"/>
    <w:rsid w:val="007D52BF"/>
    <w:rsid w:val="007D7AA1"/>
    <w:rsid w:val="007E4771"/>
    <w:rsid w:val="007F7479"/>
    <w:rsid w:val="00812AEC"/>
    <w:rsid w:val="00836F21"/>
    <w:rsid w:val="00842FB9"/>
    <w:rsid w:val="00852A5A"/>
    <w:rsid w:val="008869D6"/>
    <w:rsid w:val="00897E67"/>
    <w:rsid w:val="008B206B"/>
    <w:rsid w:val="008C12F6"/>
    <w:rsid w:val="008C1950"/>
    <w:rsid w:val="008D3203"/>
    <w:rsid w:val="008E33E5"/>
    <w:rsid w:val="008E709F"/>
    <w:rsid w:val="009101C8"/>
    <w:rsid w:val="00954869"/>
    <w:rsid w:val="00967BB8"/>
    <w:rsid w:val="00973508"/>
    <w:rsid w:val="009742F3"/>
    <w:rsid w:val="00986394"/>
    <w:rsid w:val="009E50AB"/>
    <w:rsid w:val="009E7368"/>
    <w:rsid w:val="00A04C91"/>
    <w:rsid w:val="00A17820"/>
    <w:rsid w:val="00A34B13"/>
    <w:rsid w:val="00A44975"/>
    <w:rsid w:val="00A536D5"/>
    <w:rsid w:val="00A66AC3"/>
    <w:rsid w:val="00A954DB"/>
    <w:rsid w:val="00AC0DD1"/>
    <w:rsid w:val="00AC7E42"/>
    <w:rsid w:val="00AD34C8"/>
    <w:rsid w:val="00AE2C36"/>
    <w:rsid w:val="00B00C59"/>
    <w:rsid w:val="00B02085"/>
    <w:rsid w:val="00B02C77"/>
    <w:rsid w:val="00B26547"/>
    <w:rsid w:val="00B42C54"/>
    <w:rsid w:val="00B447A4"/>
    <w:rsid w:val="00B72154"/>
    <w:rsid w:val="00B84577"/>
    <w:rsid w:val="00B90D5A"/>
    <w:rsid w:val="00BB5565"/>
    <w:rsid w:val="00BB760D"/>
    <w:rsid w:val="00BC0D35"/>
    <w:rsid w:val="00BD6261"/>
    <w:rsid w:val="00C07340"/>
    <w:rsid w:val="00C243F4"/>
    <w:rsid w:val="00C31D7A"/>
    <w:rsid w:val="00C3261A"/>
    <w:rsid w:val="00C365AF"/>
    <w:rsid w:val="00C50410"/>
    <w:rsid w:val="00C77FE9"/>
    <w:rsid w:val="00CC2F97"/>
    <w:rsid w:val="00CC7E1A"/>
    <w:rsid w:val="00CD5F43"/>
    <w:rsid w:val="00CE20FD"/>
    <w:rsid w:val="00D13C29"/>
    <w:rsid w:val="00D47064"/>
    <w:rsid w:val="00D92C16"/>
    <w:rsid w:val="00D93C1C"/>
    <w:rsid w:val="00DA373D"/>
    <w:rsid w:val="00DB5348"/>
    <w:rsid w:val="00E23442"/>
    <w:rsid w:val="00E31D0F"/>
    <w:rsid w:val="00E3428E"/>
    <w:rsid w:val="00E3450D"/>
    <w:rsid w:val="00E34705"/>
    <w:rsid w:val="00E63DD3"/>
    <w:rsid w:val="00E70C35"/>
    <w:rsid w:val="00E831D6"/>
    <w:rsid w:val="00F14667"/>
    <w:rsid w:val="00F2568F"/>
    <w:rsid w:val="00F83356"/>
    <w:rsid w:val="00FB41F7"/>
    <w:rsid w:val="00FC393B"/>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Prrafodelista">
    <w:name w:val="List Paragraph"/>
    <w:basedOn w:val="Normal"/>
    <w:uiPriority w:val="34"/>
    <w:qFormat/>
    <w:rsid w:val="007D7AA1"/>
    <w:pPr>
      <w:ind w:left="720"/>
      <w:contextualSpacing/>
    </w:pPr>
  </w:style>
  <w:style w:type="paragraph" w:styleId="Textodeglobo">
    <w:name w:val="Balloon Text"/>
    <w:basedOn w:val="Normal"/>
    <w:link w:val="TextodegloboCar"/>
    <w:uiPriority w:val="99"/>
    <w:semiHidden/>
    <w:unhideWhenUsed/>
    <w:rsid w:val="00C073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340"/>
    <w:rPr>
      <w:rFonts w:ascii="Segoe UI" w:eastAsia="Calibri" w:hAnsi="Segoe UI" w:cs="Segoe UI"/>
      <w:sz w:val="18"/>
      <w:szCs w:val="18"/>
      <w:lang w:val="es-MX"/>
    </w:rPr>
  </w:style>
  <w:style w:type="paragraph" w:customStyle="1" w:styleId="Default">
    <w:name w:val="Default"/>
    <w:rsid w:val="000A57DE"/>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3035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Prrafodelista">
    <w:name w:val="List Paragraph"/>
    <w:basedOn w:val="Normal"/>
    <w:uiPriority w:val="34"/>
    <w:qFormat/>
    <w:rsid w:val="007D7AA1"/>
    <w:pPr>
      <w:ind w:left="720"/>
      <w:contextualSpacing/>
    </w:pPr>
  </w:style>
  <w:style w:type="paragraph" w:styleId="Textodeglobo">
    <w:name w:val="Balloon Text"/>
    <w:basedOn w:val="Normal"/>
    <w:link w:val="TextodegloboCar"/>
    <w:uiPriority w:val="99"/>
    <w:semiHidden/>
    <w:unhideWhenUsed/>
    <w:rsid w:val="00C073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340"/>
    <w:rPr>
      <w:rFonts w:ascii="Segoe UI" w:eastAsia="Calibri" w:hAnsi="Segoe UI" w:cs="Segoe UI"/>
      <w:sz w:val="18"/>
      <w:szCs w:val="18"/>
      <w:lang w:val="es-MX"/>
    </w:rPr>
  </w:style>
  <w:style w:type="paragraph" w:customStyle="1" w:styleId="Default">
    <w:name w:val="Default"/>
    <w:rsid w:val="000A57DE"/>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303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mex.qroo.gob.mx" TargetMode="External"/><Relationship Id="rId5" Type="http://schemas.openxmlformats.org/officeDocument/2006/relationships/settings" Target="settings.xml"/><Relationship Id="rId10" Type="http://schemas.openxmlformats.org/officeDocument/2006/relationships/hyperlink" Target="http://qroo.gob.mx/seq/datos-personal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42C1-87EC-4659-89EB-F527721D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2</cp:revision>
  <cp:lastPrinted>2017-09-15T19:08:00Z</cp:lastPrinted>
  <dcterms:created xsi:type="dcterms:W3CDTF">2017-10-03T19:32:00Z</dcterms:created>
  <dcterms:modified xsi:type="dcterms:W3CDTF">2017-10-03T19:32:00Z</dcterms:modified>
</cp:coreProperties>
</file>